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DF3" w:rsidRDefault="00BF7DF3">
      <w:pPr>
        <w:pBdr>
          <w:top w:val="nil"/>
          <w:left w:val="nil"/>
          <w:bottom w:val="nil"/>
          <w:right w:val="nil"/>
          <w:between w:val="nil"/>
        </w:pBdr>
        <w:spacing w:line="276" w:lineRule="auto"/>
      </w:pPr>
    </w:p>
    <w:p w:rsidR="00BF7DF3" w:rsidRDefault="00BF7DF3">
      <w:pPr>
        <w:pBdr>
          <w:top w:val="nil"/>
          <w:left w:val="nil"/>
          <w:bottom w:val="nil"/>
          <w:right w:val="nil"/>
          <w:between w:val="nil"/>
        </w:pBdr>
        <w:spacing w:before="6"/>
        <w:rPr>
          <w:rFonts w:ascii="Times New Roman" w:eastAsia="Times New Roman" w:hAnsi="Times New Roman" w:cs="Times New Roman"/>
          <w:color w:val="000000"/>
          <w:sz w:val="24"/>
          <w:szCs w:val="24"/>
        </w:rPr>
      </w:pPr>
    </w:p>
    <w:p w:rsidR="00BF7DF3" w:rsidRDefault="009709B5">
      <w:pPr>
        <w:spacing w:before="100"/>
        <w:ind w:left="167"/>
        <w:rPr>
          <w:rFonts w:ascii="Arial Black" w:eastAsia="Arial Black" w:hAnsi="Arial Black" w:cs="Arial Black"/>
          <w:sz w:val="16"/>
          <w:szCs w:val="16"/>
        </w:rPr>
        <w:sectPr w:rsidR="00BF7DF3">
          <w:footerReference w:type="even" r:id="rId8"/>
          <w:pgSz w:w="12240" w:h="15840"/>
          <w:pgMar w:top="380" w:right="740" w:bottom="280" w:left="740" w:header="720" w:footer="0" w:gutter="0"/>
          <w:pgNumType w:start="370"/>
          <w:cols w:num="2" w:space="720" w:equalWidth="0">
            <w:col w:w="3864" w:space="3031"/>
            <w:col w:w="3864" w:space="0"/>
          </w:cols>
        </w:sectPr>
      </w:pPr>
      <w:r>
        <w:br w:type="column"/>
      </w:r>
      <w:r>
        <w:rPr>
          <w:rFonts w:ascii="Arial Black" w:eastAsia="Arial Black" w:hAnsi="Arial Black" w:cs="Arial Black"/>
          <w:color w:val="231F20"/>
          <w:sz w:val="16"/>
          <w:szCs w:val="16"/>
        </w:rPr>
        <w:lastRenderedPageBreak/>
        <w:t xml:space="preserve">Estudios Gerenciales vol. , N.° </w:t>
      </w:r>
    </w:p>
    <w:p w:rsidR="00BF7DF3" w:rsidRDefault="00BF7DF3">
      <w:pPr>
        <w:pBdr>
          <w:top w:val="nil"/>
          <w:left w:val="nil"/>
          <w:bottom w:val="nil"/>
          <w:right w:val="nil"/>
          <w:between w:val="nil"/>
        </w:pBdr>
        <w:spacing w:before="7"/>
        <w:rPr>
          <w:rFonts w:ascii="Arial Black" w:eastAsia="Arial Black" w:hAnsi="Arial Black" w:cs="Arial Black"/>
          <w:color w:val="000000"/>
          <w:sz w:val="14"/>
          <w:szCs w:val="14"/>
        </w:rPr>
      </w:pPr>
    </w:p>
    <w:p w:rsidR="009D1253" w:rsidRDefault="009D1253">
      <w:pPr>
        <w:pBdr>
          <w:top w:val="nil"/>
          <w:left w:val="nil"/>
          <w:bottom w:val="nil"/>
          <w:right w:val="nil"/>
          <w:between w:val="nil"/>
        </w:pBdr>
        <w:ind w:left="110"/>
        <w:rPr>
          <w:rFonts w:ascii="Times New Roman" w:eastAsia="Times New Roman" w:hAnsi="Times New Roman" w:cs="Times New Roman"/>
          <w:color w:val="000000"/>
          <w:sz w:val="20"/>
          <w:szCs w:val="20"/>
        </w:rPr>
      </w:pPr>
      <w:r w:rsidRPr="009D1253">
        <w:rPr>
          <w:rFonts w:ascii="Times New Roman" w:eastAsia="Times New Roman" w:hAnsi="Times New Roman" w:cs="Times New Roman"/>
          <w:color w:val="000000"/>
          <w:sz w:val="20"/>
          <w:szCs w:val="20"/>
        </w:rPr>
        <w:drawing>
          <wp:anchor distT="0" distB="0" distL="114300" distR="114300" simplePos="0" relativeHeight="251660288" behindDoc="0" locked="0" layoutInCell="1" allowOverlap="1" wp14:anchorId="5818EF78" wp14:editId="4FA7A1EA">
            <wp:simplePos x="0" y="0"/>
            <wp:positionH relativeFrom="margin">
              <wp:align>left</wp:align>
            </wp:positionH>
            <wp:positionV relativeFrom="margin">
              <wp:posOffset>723900</wp:posOffset>
            </wp:positionV>
            <wp:extent cx="2651760" cy="647700"/>
            <wp:effectExtent l="0" t="0" r="0" b="0"/>
            <wp:wrapSquare wrapText="bothSides"/>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651760" cy="647700"/>
                    </a:xfrm>
                    <a:prstGeom prst="rect">
                      <a:avLst/>
                    </a:prstGeom>
                  </pic:spPr>
                </pic:pic>
              </a:graphicData>
            </a:graphic>
          </wp:anchor>
        </w:drawing>
      </w:r>
    </w:p>
    <w:p w:rsidR="009D1253" w:rsidRDefault="009D1253">
      <w:pPr>
        <w:pBdr>
          <w:top w:val="nil"/>
          <w:left w:val="nil"/>
          <w:bottom w:val="nil"/>
          <w:right w:val="nil"/>
          <w:between w:val="nil"/>
        </w:pBdr>
        <w:ind w:left="110"/>
        <w:rPr>
          <w:rFonts w:ascii="Times New Roman" w:eastAsia="Times New Roman" w:hAnsi="Times New Roman" w:cs="Times New Roman"/>
          <w:color w:val="000000"/>
          <w:sz w:val="20"/>
          <w:szCs w:val="20"/>
        </w:rPr>
      </w:pPr>
    </w:p>
    <w:p w:rsidR="009D1253" w:rsidRDefault="009D1253">
      <w:pPr>
        <w:pBdr>
          <w:top w:val="nil"/>
          <w:left w:val="nil"/>
          <w:bottom w:val="nil"/>
          <w:right w:val="nil"/>
          <w:between w:val="nil"/>
        </w:pBdr>
        <w:ind w:left="110"/>
        <w:rPr>
          <w:rFonts w:ascii="Times New Roman" w:eastAsia="Times New Roman" w:hAnsi="Times New Roman" w:cs="Times New Roman"/>
          <w:color w:val="000000"/>
          <w:sz w:val="20"/>
          <w:szCs w:val="20"/>
        </w:rPr>
      </w:pPr>
    </w:p>
    <w:p w:rsidR="009D1253" w:rsidRDefault="009D1253">
      <w:pPr>
        <w:pBdr>
          <w:top w:val="nil"/>
          <w:left w:val="nil"/>
          <w:bottom w:val="nil"/>
          <w:right w:val="nil"/>
          <w:between w:val="nil"/>
        </w:pBdr>
        <w:ind w:left="110"/>
        <w:rPr>
          <w:rFonts w:ascii="Times New Roman" w:eastAsia="Times New Roman" w:hAnsi="Times New Roman" w:cs="Times New Roman"/>
          <w:color w:val="000000"/>
          <w:sz w:val="20"/>
          <w:szCs w:val="20"/>
        </w:rPr>
      </w:pPr>
    </w:p>
    <w:p w:rsidR="00BF7DF3" w:rsidRDefault="009709B5">
      <w:pPr>
        <w:pBdr>
          <w:top w:val="nil"/>
          <w:left w:val="nil"/>
          <w:bottom w:val="nil"/>
          <w:right w:val="nil"/>
          <w:between w:val="nil"/>
        </w:pBdr>
        <w:ind w:left="110"/>
        <w:rPr>
          <w:rFonts w:ascii="Arial Black" w:eastAsia="Arial Black" w:hAnsi="Arial Black" w:cs="Arial Black"/>
          <w:color w:val="000000"/>
          <w:sz w:val="20"/>
          <w:szCs w:val="20"/>
        </w:rPr>
      </w:pPr>
      <w:r>
        <w:rPr>
          <w:rFonts w:ascii="Times New Roman" w:eastAsia="Times New Roman" w:hAnsi="Times New Roman" w:cs="Times New Roman"/>
          <w:color w:val="000000"/>
          <w:sz w:val="20"/>
          <w:szCs w:val="20"/>
        </w:rPr>
        <w:t xml:space="preserve"> </w:t>
      </w:r>
    </w:p>
    <w:p w:rsidR="00BF7DF3" w:rsidRDefault="00BF7DF3">
      <w:pPr>
        <w:pBdr>
          <w:top w:val="nil"/>
          <w:left w:val="nil"/>
          <w:bottom w:val="nil"/>
          <w:right w:val="nil"/>
          <w:between w:val="nil"/>
        </w:pBdr>
        <w:spacing w:before="11"/>
        <w:rPr>
          <w:rFonts w:ascii="Arial Black" w:eastAsia="Arial Black" w:hAnsi="Arial Black" w:cs="Arial Black"/>
          <w:color w:val="000000"/>
          <w:sz w:val="4"/>
          <w:szCs w:val="4"/>
        </w:rPr>
      </w:pPr>
    </w:p>
    <w:p w:rsidR="00BF7DF3" w:rsidRDefault="009709B5">
      <w:pPr>
        <w:pBdr>
          <w:top w:val="nil"/>
          <w:left w:val="nil"/>
          <w:bottom w:val="nil"/>
          <w:right w:val="nil"/>
          <w:between w:val="nil"/>
        </w:pBdr>
        <w:spacing w:line="211" w:lineRule="auto"/>
        <w:ind w:left="117"/>
        <w:rPr>
          <w:rFonts w:ascii="Arial Black" w:eastAsia="Arial Black" w:hAnsi="Arial Black" w:cs="Arial Black"/>
          <w:color w:val="000000"/>
          <w:sz w:val="20"/>
          <w:szCs w:val="20"/>
        </w:rPr>
      </w:pPr>
      <w:r>
        <w:pict>
          <v:group id="_x0000_s3116" style="width:206.35pt;height:10.6pt;mso-position-horizontal-relative:char;mso-position-vertical-relative:line" coordsize="4127,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118" type="#_x0000_t75" style="position:absolute;width:3128;height:212">
              <v:imagedata r:id="rId10" o:title=""/>
            </v:shape>
            <v:shape id="_x0000_s3117" type="#_x0000_t75" style="position:absolute;left:3189;width:938;height:167">
              <v:imagedata r:id="rId11" o:title=""/>
            </v:shape>
            <w10:wrap type="none" anchorx="margin"/>
            <w10:anchorlock/>
          </v:group>
        </w:pict>
      </w:r>
    </w:p>
    <w:p w:rsidR="00BF7DF3" w:rsidRDefault="009709B5">
      <w:pPr>
        <w:pBdr>
          <w:top w:val="nil"/>
          <w:left w:val="nil"/>
          <w:bottom w:val="nil"/>
          <w:right w:val="nil"/>
          <w:between w:val="nil"/>
        </w:pBdr>
        <w:spacing w:before="57"/>
        <w:ind w:left="110"/>
        <w:rPr>
          <w:color w:val="000000"/>
          <w:sz w:val="20"/>
          <w:szCs w:val="20"/>
        </w:rPr>
      </w:pPr>
      <w:r>
        <w:rPr>
          <w:color w:val="231F20"/>
          <w:sz w:val="20"/>
          <w:szCs w:val="20"/>
        </w:rPr>
        <w:t>Artículo de revisión</w:t>
      </w:r>
    </w:p>
    <w:p w:rsidR="00BF7DF3" w:rsidRDefault="009709B5">
      <w:pPr>
        <w:spacing w:before="143" w:line="214" w:lineRule="auto"/>
        <w:ind w:left="110"/>
        <w:rPr>
          <w:rFonts w:ascii="Arial" w:eastAsia="Arial" w:hAnsi="Arial" w:cs="Arial"/>
          <w:b/>
          <w:color w:val="231F20"/>
          <w:sz w:val="27"/>
          <w:szCs w:val="27"/>
        </w:rPr>
      </w:pPr>
      <w:r>
        <w:rPr>
          <w:rFonts w:ascii="Arial" w:eastAsia="Arial" w:hAnsi="Arial" w:cs="Arial"/>
          <w:b/>
          <w:color w:val="231F20"/>
          <w:sz w:val="27"/>
          <w:szCs w:val="27"/>
        </w:rPr>
        <w:t>Revisión de la literatura sobre metodologías utilizadas en estudios de movimiento de carga en territorios urbanos.</w:t>
      </w:r>
    </w:p>
    <w:p w:rsidR="00BF7DF3" w:rsidRDefault="00BF7DF3">
      <w:pPr>
        <w:spacing w:before="143" w:line="214" w:lineRule="auto"/>
        <w:ind w:left="110"/>
        <w:rPr>
          <w:rFonts w:ascii="Arial" w:eastAsia="Arial" w:hAnsi="Arial" w:cs="Arial"/>
          <w:b/>
          <w:color w:val="231F20"/>
          <w:sz w:val="27"/>
          <w:szCs w:val="27"/>
        </w:rPr>
      </w:pPr>
    </w:p>
    <w:p w:rsidR="00BF7DF3" w:rsidRDefault="009709B5">
      <w:pPr>
        <w:spacing w:before="15" w:line="211" w:lineRule="auto"/>
        <w:ind w:left="110"/>
        <w:rPr>
          <w:color w:val="231F20"/>
          <w:sz w:val="18"/>
          <w:szCs w:val="18"/>
        </w:rPr>
      </w:pPr>
      <w:proofErr w:type="spellStart"/>
      <w:r>
        <w:rPr>
          <w:color w:val="231F20"/>
          <w:sz w:val="18"/>
          <w:szCs w:val="18"/>
        </w:rPr>
        <w:t>Leidy</w:t>
      </w:r>
      <w:proofErr w:type="spellEnd"/>
      <w:r>
        <w:rPr>
          <w:color w:val="231F20"/>
          <w:sz w:val="18"/>
          <w:szCs w:val="18"/>
        </w:rPr>
        <w:t xml:space="preserve"> Carolina Cáceres Tovar </w:t>
      </w:r>
    </w:p>
    <w:p w:rsidR="00BF7DF3" w:rsidRDefault="009709B5">
      <w:pPr>
        <w:spacing w:line="214" w:lineRule="auto"/>
        <w:rPr>
          <w:color w:val="231F20"/>
          <w:sz w:val="15"/>
          <w:szCs w:val="15"/>
        </w:rPr>
      </w:pPr>
      <w:r>
        <w:t xml:space="preserve">  </w:t>
      </w:r>
      <w:r>
        <w:rPr>
          <w:color w:val="231F20"/>
          <w:sz w:val="15"/>
          <w:szCs w:val="15"/>
        </w:rPr>
        <w:t>Estudiante-Investigadora, Programa Educativo de Ing</w:t>
      </w:r>
      <w:r>
        <w:rPr>
          <w:color w:val="231F20"/>
          <w:sz w:val="15"/>
          <w:szCs w:val="15"/>
        </w:rPr>
        <w:t>eniería Industrial, Universidad Industrial de Santander</w:t>
      </w:r>
    </w:p>
    <w:p w:rsidR="00BF7DF3" w:rsidRDefault="009709B5">
      <w:pPr>
        <w:spacing w:line="214" w:lineRule="auto"/>
        <w:rPr>
          <w:color w:val="231F20"/>
          <w:sz w:val="15"/>
          <w:szCs w:val="15"/>
        </w:rPr>
      </w:pPr>
      <w:r>
        <w:rPr>
          <w:color w:val="231F20"/>
          <w:sz w:val="15"/>
          <w:szCs w:val="15"/>
        </w:rPr>
        <w:t xml:space="preserve">   </w:t>
      </w:r>
      <w:r>
        <w:rPr>
          <w:color w:val="0000FF"/>
          <w:sz w:val="15"/>
          <w:szCs w:val="15"/>
        </w:rPr>
        <w:t>leidy2170350@correo.uis.edu.co</w:t>
      </w:r>
    </w:p>
    <w:p w:rsidR="00BF7DF3" w:rsidRDefault="009709B5">
      <w:pPr>
        <w:spacing w:before="14" w:line="211" w:lineRule="auto"/>
        <w:ind w:left="110"/>
        <w:rPr>
          <w:color w:val="231F20"/>
          <w:sz w:val="18"/>
          <w:szCs w:val="18"/>
        </w:rPr>
      </w:pPr>
      <w:r>
        <w:rPr>
          <w:color w:val="231F20"/>
          <w:sz w:val="18"/>
          <w:szCs w:val="18"/>
        </w:rPr>
        <w:t>Silvia Juliana Mantilla-Rueda</w:t>
      </w:r>
    </w:p>
    <w:p w:rsidR="00BF7DF3" w:rsidRDefault="009709B5">
      <w:pPr>
        <w:spacing w:before="14" w:line="211" w:lineRule="auto"/>
        <w:ind w:left="110"/>
        <w:rPr>
          <w:color w:val="231F20"/>
          <w:sz w:val="15"/>
          <w:szCs w:val="15"/>
        </w:rPr>
      </w:pPr>
      <w:r>
        <w:rPr>
          <w:color w:val="231F20"/>
          <w:sz w:val="15"/>
          <w:szCs w:val="15"/>
        </w:rPr>
        <w:t>Estudiante-Investigadora, Programa Educativo de Ingeniería Industrial, Universidad Industrial de Santander</w:t>
      </w:r>
    </w:p>
    <w:p w:rsidR="00BF7DF3" w:rsidRDefault="009709B5">
      <w:pPr>
        <w:spacing w:line="214" w:lineRule="auto"/>
        <w:rPr>
          <w:color w:val="0000FF"/>
          <w:sz w:val="15"/>
          <w:szCs w:val="15"/>
        </w:rPr>
      </w:pPr>
      <w:r>
        <w:rPr>
          <w:color w:val="0000FF"/>
          <w:sz w:val="15"/>
          <w:szCs w:val="15"/>
        </w:rPr>
        <w:t xml:space="preserve">  </w:t>
      </w:r>
      <w:hyperlink r:id="rId12">
        <w:r>
          <w:rPr>
            <w:color w:val="1155CC"/>
            <w:sz w:val="15"/>
            <w:szCs w:val="15"/>
            <w:u w:val="single"/>
          </w:rPr>
          <w:t>silvia2170323@correo.uis.edu.co</w:t>
        </w:r>
      </w:hyperlink>
    </w:p>
    <w:p w:rsidR="00BF7DF3" w:rsidRDefault="009D1253">
      <w:pPr>
        <w:spacing w:before="15" w:line="211" w:lineRule="auto"/>
        <w:ind w:left="110"/>
        <w:rPr>
          <w:color w:val="231F20"/>
          <w:sz w:val="18"/>
          <w:szCs w:val="18"/>
        </w:rPr>
      </w:pPr>
      <w:r w:rsidRPr="009D1253">
        <w:rPr>
          <w:color w:val="231F20"/>
          <w:sz w:val="18"/>
          <w:szCs w:val="18"/>
        </w:rPr>
        <w:t>Javier Eduardo Arias Osorio</w:t>
      </w:r>
    </w:p>
    <w:p w:rsidR="00BF7DF3" w:rsidRDefault="009709B5">
      <w:pPr>
        <w:spacing w:line="214" w:lineRule="auto"/>
        <w:rPr>
          <w:color w:val="231F20"/>
          <w:sz w:val="15"/>
          <w:szCs w:val="15"/>
        </w:rPr>
      </w:pPr>
      <w:r>
        <w:t xml:space="preserve">  </w:t>
      </w:r>
      <w:r w:rsidR="009D1253">
        <w:rPr>
          <w:color w:val="231F20"/>
          <w:sz w:val="15"/>
          <w:szCs w:val="15"/>
        </w:rPr>
        <w:t>Ingeniero de sistemas,</w:t>
      </w:r>
      <w:r w:rsidR="009D1253" w:rsidRPr="009D1253">
        <w:rPr>
          <w:color w:val="231F20"/>
          <w:sz w:val="15"/>
          <w:szCs w:val="15"/>
        </w:rPr>
        <w:t xml:space="preserve"> Magister en administración</w:t>
      </w:r>
      <w:r>
        <w:rPr>
          <w:color w:val="231F20"/>
          <w:sz w:val="15"/>
          <w:szCs w:val="15"/>
        </w:rPr>
        <w:t>, Universidad Industrial de Santander</w:t>
      </w:r>
    </w:p>
    <w:p w:rsidR="009D1253" w:rsidRPr="009D1253" w:rsidRDefault="009D1253" w:rsidP="009D1253">
      <w:pPr>
        <w:spacing w:line="214" w:lineRule="auto"/>
        <w:ind w:left="110"/>
        <w:rPr>
          <w:color w:val="0000FF"/>
          <w:sz w:val="15"/>
          <w:szCs w:val="15"/>
        </w:rPr>
      </w:pPr>
      <w:r w:rsidRPr="009D1253">
        <w:rPr>
          <w:color w:val="0000FF"/>
          <w:sz w:val="15"/>
          <w:szCs w:val="15"/>
        </w:rPr>
        <w:t xml:space="preserve">jearias@uis.edu.co </w:t>
      </w:r>
      <w:bookmarkStart w:id="0" w:name="_GoBack"/>
      <w:bookmarkEnd w:id="0"/>
    </w:p>
    <w:p w:rsidR="009D1253" w:rsidRDefault="009D1253">
      <w:pPr>
        <w:spacing w:before="14" w:line="211" w:lineRule="auto"/>
        <w:ind w:left="110"/>
        <w:rPr>
          <w:color w:val="231F20"/>
          <w:sz w:val="18"/>
          <w:szCs w:val="18"/>
        </w:rPr>
      </w:pPr>
      <w:r w:rsidRPr="009D1253">
        <w:rPr>
          <w:color w:val="231F20"/>
          <w:sz w:val="18"/>
          <w:szCs w:val="18"/>
        </w:rPr>
        <w:t xml:space="preserve">Jorge </w:t>
      </w:r>
      <w:proofErr w:type="spellStart"/>
      <w:r w:rsidRPr="009D1253">
        <w:rPr>
          <w:color w:val="231F20"/>
          <w:sz w:val="18"/>
          <w:szCs w:val="18"/>
        </w:rPr>
        <w:t>Andres</w:t>
      </w:r>
      <w:proofErr w:type="spellEnd"/>
      <w:r w:rsidRPr="009D1253">
        <w:rPr>
          <w:color w:val="231F20"/>
          <w:sz w:val="18"/>
          <w:szCs w:val="18"/>
        </w:rPr>
        <w:t xml:space="preserve"> Rueda Serrano </w:t>
      </w:r>
    </w:p>
    <w:p w:rsidR="009D1253" w:rsidRDefault="009D1253" w:rsidP="009D1253">
      <w:pPr>
        <w:spacing w:before="14" w:line="211" w:lineRule="auto"/>
        <w:ind w:left="110"/>
        <w:rPr>
          <w:color w:val="231F20"/>
          <w:sz w:val="15"/>
          <w:szCs w:val="15"/>
        </w:rPr>
      </w:pPr>
      <w:r>
        <w:rPr>
          <w:color w:val="231F20"/>
          <w:sz w:val="15"/>
          <w:szCs w:val="15"/>
        </w:rPr>
        <w:t xml:space="preserve">Ingeniero Industrial, </w:t>
      </w:r>
      <w:r w:rsidRPr="009D1253">
        <w:rPr>
          <w:color w:val="231F20"/>
          <w:sz w:val="15"/>
          <w:szCs w:val="15"/>
        </w:rPr>
        <w:t>M</w:t>
      </w:r>
      <w:r>
        <w:rPr>
          <w:color w:val="231F20"/>
          <w:sz w:val="15"/>
          <w:szCs w:val="15"/>
        </w:rPr>
        <w:t>agister en Gerencia de Negocios</w:t>
      </w:r>
      <w:r w:rsidR="009709B5">
        <w:rPr>
          <w:color w:val="231F20"/>
          <w:sz w:val="15"/>
          <w:szCs w:val="15"/>
        </w:rPr>
        <w:t>, Universidad Industrial de Santander</w:t>
      </w:r>
    </w:p>
    <w:p w:rsidR="009D1253" w:rsidRPr="009D1253" w:rsidRDefault="009D1253" w:rsidP="009D1253">
      <w:pPr>
        <w:spacing w:before="14" w:line="211" w:lineRule="auto"/>
        <w:ind w:left="110"/>
        <w:rPr>
          <w:color w:val="231F20"/>
          <w:sz w:val="15"/>
          <w:szCs w:val="15"/>
        </w:rPr>
      </w:pPr>
      <w:hyperlink r:id="rId13" w:history="1">
        <w:r w:rsidRPr="00CA6D20">
          <w:rPr>
            <w:rStyle w:val="Hipervnculo"/>
            <w:sz w:val="15"/>
            <w:szCs w:val="15"/>
          </w:rPr>
          <w:t>jaruedas@correo.uis.edu.co</w:t>
        </w:r>
      </w:hyperlink>
      <w:r w:rsidRPr="009D1253">
        <w:rPr>
          <w:color w:val="0000FF"/>
          <w:sz w:val="15"/>
          <w:szCs w:val="15"/>
        </w:rPr>
        <w:t xml:space="preserve"> </w:t>
      </w:r>
    </w:p>
    <w:p w:rsidR="00BF7DF3" w:rsidRDefault="009709B5">
      <w:pPr>
        <w:spacing w:before="160" w:line="241" w:lineRule="auto"/>
        <w:ind w:left="110"/>
        <w:rPr>
          <w:rFonts w:ascii="Arial Black" w:eastAsia="Arial Black" w:hAnsi="Arial Black" w:cs="Arial Black"/>
          <w:color w:val="231F20"/>
          <w:sz w:val="19"/>
          <w:szCs w:val="19"/>
        </w:rPr>
      </w:pPr>
      <w:r>
        <w:rPr>
          <w:rFonts w:ascii="Arial Black" w:eastAsia="Arial Black" w:hAnsi="Arial Black" w:cs="Arial Black"/>
          <w:color w:val="231F20"/>
          <w:sz w:val="19"/>
          <w:szCs w:val="19"/>
        </w:rPr>
        <w:t>Resumen</w:t>
      </w:r>
    </w:p>
    <w:p w:rsidR="00BF7DF3" w:rsidRDefault="009709B5">
      <w:pPr>
        <w:spacing w:before="160" w:line="241" w:lineRule="auto"/>
        <w:ind w:left="110"/>
        <w:rPr>
          <w:color w:val="231F20"/>
          <w:sz w:val="18"/>
          <w:szCs w:val="18"/>
        </w:rPr>
      </w:pPr>
      <w:r>
        <w:rPr>
          <w:color w:val="231F20"/>
          <w:sz w:val="18"/>
          <w:szCs w:val="18"/>
        </w:rPr>
        <w:t>La logística urbana y la movilidad son términos que van de la mano en el desarrollo y mejora de los territorios urbanos. Esta debe ser planteada teniendo en cuenta factores como la cooperación entre empresas de manera que se creen sinergias entre los gobie</w:t>
      </w:r>
      <w:r>
        <w:rPr>
          <w:color w:val="231F20"/>
          <w:sz w:val="18"/>
          <w:szCs w:val="18"/>
        </w:rPr>
        <w:t xml:space="preserve">rnos y estas, el uso adecuado de las tecnologías que permitan generar servicios y planes más eficientes, una correcta planificación del transporte urbano de mercancías considerando los inconvenientes ocasionados durante las entregas de última milla. </w:t>
      </w:r>
    </w:p>
    <w:p w:rsidR="00BF7DF3" w:rsidRDefault="009709B5">
      <w:pPr>
        <w:spacing w:before="160" w:line="241" w:lineRule="auto"/>
        <w:ind w:left="110"/>
        <w:rPr>
          <w:color w:val="231F20"/>
          <w:sz w:val="18"/>
          <w:szCs w:val="18"/>
        </w:rPr>
      </w:pPr>
      <w:r>
        <w:rPr>
          <w:color w:val="231F20"/>
          <w:sz w:val="18"/>
          <w:szCs w:val="18"/>
        </w:rPr>
        <w:t>Europ</w:t>
      </w:r>
      <w:r>
        <w:rPr>
          <w:color w:val="231F20"/>
          <w:sz w:val="18"/>
          <w:szCs w:val="18"/>
        </w:rPr>
        <w:t xml:space="preserve">a ya ha comenzado a recorrer este camino gracias a la creación de Planes de Movilidad Urbana Sostenible (PMUS), Planes de Transporte Urbano Sostenible (PTUS) y Planes Urbanos de Logística Sostenible (SULP) donde a través del análisis de las necesidades de </w:t>
      </w:r>
      <w:r>
        <w:rPr>
          <w:color w:val="231F20"/>
          <w:sz w:val="18"/>
          <w:szCs w:val="18"/>
        </w:rPr>
        <w:t>cada ciudad se determina qué tipo de plan es el más adecuado, para esto hay agencias especializadas en llevar a cabo este tipo de proyectos con el apoyo del gobierno, como ejemplo: ENCLOSE, NOVELOG y SULPITER.</w:t>
      </w:r>
    </w:p>
    <w:p w:rsidR="00BF7DF3" w:rsidRDefault="009709B5">
      <w:pPr>
        <w:spacing w:before="160" w:line="241" w:lineRule="auto"/>
        <w:ind w:left="110"/>
        <w:rPr>
          <w:color w:val="231F20"/>
          <w:sz w:val="18"/>
          <w:szCs w:val="18"/>
        </w:rPr>
      </w:pPr>
      <w:r>
        <w:rPr>
          <w:color w:val="231F20"/>
          <w:sz w:val="18"/>
          <w:szCs w:val="18"/>
        </w:rPr>
        <w:t>Ahora bien, Bucaramanga es una ciudad que ha c</w:t>
      </w:r>
      <w:r>
        <w:rPr>
          <w:color w:val="231F20"/>
          <w:sz w:val="18"/>
          <w:szCs w:val="18"/>
        </w:rPr>
        <w:t xml:space="preserve">omenzado a buscar soluciones y puntos de mejora en este sentido, y que al ser un punto importante a nivel nacional para el transporte de carga se plantea como beneficioso el desarrollo de un Plan Urbano de Logística Sostenible, para el cual se propone una </w:t>
      </w:r>
      <w:r>
        <w:rPr>
          <w:color w:val="231F20"/>
          <w:sz w:val="18"/>
          <w:szCs w:val="18"/>
        </w:rPr>
        <w:t>metodología tras la realización de un análisis de literatura de los proyectos que ya se han realizado a nivel nacional y mundial.</w:t>
      </w:r>
    </w:p>
    <w:p w:rsidR="00BF7DF3" w:rsidRDefault="009709B5">
      <w:pPr>
        <w:spacing w:before="122"/>
        <w:ind w:left="110"/>
        <w:rPr>
          <w:color w:val="231F20"/>
          <w:sz w:val="15"/>
          <w:szCs w:val="15"/>
        </w:rPr>
      </w:pPr>
      <w:r>
        <w:rPr>
          <w:rFonts w:ascii="Arial" w:eastAsia="Arial" w:hAnsi="Arial" w:cs="Arial"/>
          <w:b/>
          <w:color w:val="231F20"/>
          <w:sz w:val="15"/>
          <w:szCs w:val="15"/>
        </w:rPr>
        <w:t xml:space="preserve">Palabras clave: </w:t>
      </w:r>
      <w:r>
        <w:rPr>
          <w:color w:val="231F20"/>
          <w:sz w:val="15"/>
          <w:szCs w:val="15"/>
        </w:rPr>
        <w:t>Movilidad urbana, Transporte, Metodología, Logística</w:t>
      </w:r>
      <w:r>
        <w:rPr>
          <w:noProof/>
        </w:rPr>
        <mc:AlternateContent>
          <mc:Choice Requires="wps">
            <w:drawing>
              <wp:anchor distT="0" distB="0" distL="114300" distR="114300" simplePos="0" relativeHeight="251658240" behindDoc="0" locked="0" layoutInCell="1" hidden="0" allowOverlap="1">
                <wp:simplePos x="0" y="0"/>
                <wp:positionH relativeFrom="column">
                  <wp:posOffset>177800</wp:posOffset>
                </wp:positionH>
                <wp:positionV relativeFrom="paragraph">
                  <wp:posOffset>203200</wp:posOffset>
                </wp:positionV>
                <wp:extent cx="1270" cy="12700"/>
                <wp:effectExtent l="0" t="0" r="0" b="0"/>
                <wp:wrapTopAndBottom distT="0" distB="0"/>
                <wp:docPr id="7" name="Forma libre 7"/>
                <wp:cNvGraphicFramePr/>
                <a:graphic xmlns:a="http://schemas.openxmlformats.org/drawingml/2006/main">
                  <a:graphicData uri="http://schemas.microsoft.com/office/word/2010/wordprocessingShape">
                    <wps:wsp>
                      <wps:cNvSpPr/>
                      <wps:spPr>
                        <a:xfrm>
                          <a:off x="2469450" y="3779365"/>
                          <a:ext cx="6692900" cy="1270"/>
                        </a:xfrm>
                        <a:custGeom>
                          <a:avLst/>
                          <a:gdLst/>
                          <a:ahLst/>
                          <a:cxnLst/>
                          <a:rect l="l" t="t" r="r" b="b"/>
                          <a:pathLst>
                            <a:path w="6692900" h="1270" extrusionOk="0">
                              <a:moveTo>
                                <a:pt x="0" y="0"/>
                              </a:moveTo>
                              <a:lnTo>
                                <a:pt x="6692900" y="0"/>
                              </a:lnTo>
                            </a:path>
                          </a:pathLst>
                        </a:custGeom>
                        <a:noFill/>
                        <a:ln w="9525" cap="flat" cmpd="sng">
                          <a:solidFill>
                            <a:srgbClr val="231F2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177800</wp:posOffset>
                </wp:positionH>
                <wp:positionV relativeFrom="paragraph">
                  <wp:posOffset>203200</wp:posOffset>
                </wp:positionV>
                <wp:extent cx="1270" cy="12700"/>
                <wp:effectExtent b="0" l="0" r="0" t="0"/>
                <wp:wrapTopAndBottom distB="0" distT="0"/>
                <wp:docPr id="7" name="image7.png"/>
                <a:graphic>
                  <a:graphicData uri="http://schemas.openxmlformats.org/drawingml/2006/picture">
                    <pic:pic>
                      <pic:nvPicPr>
                        <pic:cNvPr id="0" name="image7.png"/>
                        <pic:cNvPicPr preferRelativeResize="0"/>
                      </pic:nvPicPr>
                      <pic:blipFill>
                        <a:blip r:embed="rId14"/>
                        <a:srcRect/>
                        <a:stretch>
                          <a:fillRect/>
                        </a:stretch>
                      </pic:blipFill>
                      <pic:spPr>
                        <a:xfrm>
                          <a:off x="0" y="0"/>
                          <a:ext cx="1270" cy="12700"/>
                        </a:xfrm>
                        <a:prstGeom prst="rect"/>
                        <a:ln/>
                      </pic:spPr>
                    </pic:pic>
                  </a:graphicData>
                </a:graphic>
              </wp:anchor>
            </w:drawing>
          </mc:Fallback>
        </mc:AlternateContent>
      </w:r>
    </w:p>
    <w:p w:rsidR="00BF7DF3" w:rsidRDefault="00BF7DF3">
      <w:pPr>
        <w:spacing w:before="95" w:line="241" w:lineRule="auto"/>
        <w:ind w:left="110"/>
        <w:rPr>
          <w:rFonts w:ascii="Arial Black" w:eastAsia="Arial Black" w:hAnsi="Arial Black" w:cs="Arial Black"/>
          <w:color w:val="231F20"/>
        </w:rPr>
      </w:pPr>
    </w:p>
    <w:p w:rsidR="00BF7DF3" w:rsidRDefault="009709B5">
      <w:pPr>
        <w:spacing w:before="95" w:line="241" w:lineRule="auto"/>
        <w:ind w:left="110"/>
        <w:rPr>
          <w:rFonts w:ascii="Arial Black" w:eastAsia="Arial Black" w:hAnsi="Arial Black" w:cs="Arial Black"/>
          <w:color w:val="231F20"/>
        </w:rPr>
      </w:pPr>
      <w:proofErr w:type="spellStart"/>
      <w:r>
        <w:rPr>
          <w:rFonts w:ascii="Arial Black" w:eastAsia="Arial Black" w:hAnsi="Arial Black" w:cs="Arial Black"/>
          <w:color w:val="231F20"/>
        </w:rPr>
        <w:t>Organizational</w:t>
      </w:r>
      <w:proofErr w:type="spellEnd"/>
      <w:r>
        <w:rPr>
          <w:rFonts w:ascii="Arial Black" w:eastAsia="Arial Black" w:hAnsi="Arial Black" w:cs="Arial Black"/>
          <w:color w:val="231F20"/>
        </w:rPr>
        <w:t xml:space="preserve"> culture and </w:t>
      </w:r>
      <w:proofErr w:type="spellStart"/>
      <w:r>
        <w:rPr>
          <w:rFonts w:ascii="Arial Black" w:eastAsia="Arial Black" w:hAnsi="Arial Black" w:cs="Arial Black"/>
          <w:color w:val="231F20"/>
        </w:rPr>
        <w:t>its</w:t>
      </w:r>
      <w:proofErr w:type="spellEnd"/>
      <w:r>
        <w:rPr>
          <w:rFonts w:ascii="Arial Black" w:eastAsia="Arial Black" w:hAnsi="Arial Black" w:cs="Arial Black"/>
          <w:color w:val="231F20"/>
        </w:rPr>
        <w:t xml:space="preserve"> </w:t>
      </w:r>
      <w:proofErr w:type="spellStart"/>
      <w:r>
        <w:rPr>
          <w:rFonts w:ascii="Arial Black" w:eastAsia="Arial Black" w:hAnsi="Arial Black" w:cs="Arial Black"/>
          <w:color w:val="231F20"/>
        </w:rPr>
        <w:t>influence</w:t>
      </w:r>
      <w:proofErr w:type="spellEnd"/>
      <w:r>
        <w:rPr>
          <w:rFonts w:ascii="Arial Black" w:eastAsia="Arial Black" w:hAnsi="Arial Black" w:cs="Arial Black"/>
          <w:color w:val="231F20"/>
        </w:rPr>
        <w:t xml:space="preserve"> in </w:t>
      </w:r>
      <w:proofErr w:type="spellStart"/>
      <w:r>
        <w:rPr>
          <w:rFonts w:ascii="Arial Black" w:eastAsia="Arial Black" w:hAnsi="Arial Black" w:cs="Arial Black"/>
          <w:color w:val="231F20"/>
        </w:rPr>
        <w:t>business</w:t>
      </w:r>
      <w:proofErr w:type="spellEnd"/>
      <w:r>
        <w:rPr>
          <w:rFonts w:ascii="Arial Black" w:eastAsia="Arial Black" w:hAnsi="Arial Black" w:cs="Arial Black"/>
          <w:color w:val="231F20"/>
        </w:rPr>
        <w:t xml:space="preserve"> </w:t>
      </w:r>
      <w:proofErr w:type="spellStart"/>
      <w:r>
        <w:rPr>
          <w:rFonts w:ascii="Arial Black" w:eastAsia="Arial Black" w:hAnsi="Arial Black" w:cs="Arial Black"/>
          <w:color w:val="231F20"/>
        </w:rPr>
        <w:t>sustainability</w:t>
      </w:r>
      <w:proofErr w:type="spellEnd"/>
      <w:r>
        <w:rPr>
          <w:rFonts w:ascii="Arial Black" w:eastAsia="Arial Black" w:hAnsi="Arial Black" w:cs="Arial Black"/>
          <w:color w:val="231F20"/>
        </w:rPr>
        <w:t xml:space="preserve">. </w:t>
      </w:r>
      <w:proofErr w:type="spellStart"/>
      <w:r>
        <w:rPr>
          <w:rFonts w:ascii="Arial Black" w:eastAsia="Arial Black" w:hAnsi="Arial Black" w:cs="Arial Black"/>
          <w:color w:val="231F20"/>
        </w:rPr>
        <w:t>The</w:t>
      </w:r>
      <w:proofErr w:type="spellEnd"/>
      <w:r>
        <w:rPr>
          <w:rFonts w:ascii="Arial Black" w:eastAsia="Arial Black" w:hAnsi="Arial Black" w:cs="Arial Black"/>
          <w:color w:val="231F20"/>
        </w:rPr>
        <w:t xml:space="preserve"> </w:t>
      </w:r>
      <w:proofErr w:type="spellStart"/>
      <w:r>
        <w:rPr>
          <w:rFonts w:ascii="Arial Black" w:eastAsia="Arial Black" w:hAnsi="Arial Black" w:cs="Arial Black"/>
          <w:color w:val="231F20"/>
        </w:rPr>
        <w:t>importance</w:t>
      </w:r>
      <w:proofErr w:type="spellEnd"/>
      <w:r>
        <w:rPr>
          <w:rFonts w:ascii="Arial Black" w:eastAsia="Arial Black" w:hAnsi="Arial Black" w:cs="Arial Black"/>
          <w:color w:val="231F20"/>
        </w:rPr>
        <w:t xml:space="preserve"> of culture in </w:t>
      </w:r>
      <w:proofErr w:type="spellStart"/>
      <w:r>
        <w:rPr>
          <w:rFonts w:ascii="Arial Black" w:eastAsia="Arial Black" w:hAnsi="Arial Black" w:cs="Arial Black"/>
          <w:color w:val="231F20"/>
        </w:rPr>
        <w:t>corporate</w:t>
      </w:r>
      <w:proofErr w:type="spellEnd"/>
      <w:r>
        <w:rPr>
          <w:rFonts w:ascii="Arial Black" w:eastAsia="Arial Black" w:hAnsi="Arial Black" w:cs="Arial Black"/>
          <w:color w:val="231F20"/>
        </w:rPr>
        <w:t xml:space="preserve"> </w:t>
      </w:r>
      <w:proofErr w:type="spellStart"/>
      <w:r>
        <w:rPr>
          <w:rFonts w:ascii="Arial Black" w:eastAsia="Arial Black" w:hAnsi="Arial Black" w:cs="Arial Black"/>
          <w:color w:val="231F20"/>
        </w:rPr>
        <w:t>sustainability</w:t>
      </w:r>
      <w:proofErr w:type="spellEnd"/>
    </w:p>
    <w:p w:rsidR="00BF7DF3" w:rsidRDefault="009709B5">
      <w:pPr>
        <w:spacing w:before="95" w:line="241" w:lineRule="auto"/>
        <w:ind w:left="110"/>
        <w:rPr>
          <w:rFonts w:ascii="Arial Black" w:eastAsia="Arial Black" w:hAnsi="Arial Black" w:cs="Arial Black"/>
          <w:sz w:val="19"/>
          <w:szCs w:val="19"/>
        </w:rPr>
      </w:pPr>
      <w:proofErr w:type="spellStart"/>
      <w:r>
        <w:rPr>
          <w:rFonts w:ascii="Arial Black" w:eastAsia="Arial Black" w:hAnsi="Arial Black" w:cs="Arial Black"/>
          <w:color w:val="231F20"/>
          <w:sz w:val="19"/>
          <w:szCs w:val="19"/>
        </w:rPr>
        <w:t>Abstract</w:t>
      </w:r>
      <w:proofErr w:type="spellEnd"/>
    </w:p>
    <w:p w:rsidR="00BF7DF3" w:rsidRDefault="009709B5">
      <w:pPr>
        <w:spacing w:before="95" w:line="241" w:lineRule="auto"/>
        <w:ind w:left="110"/>
        <w:rPr>
          <w:color w:val="231F20"/>
          <w:sz w:val="18"/>
          <w:szCs w:val="18"/>
        </w:rPr>
      </w:pPr>
      <w:proofErr w:type="spellStart"/>
      <w:r>
        <w:rPr>
          <w:color w:val="231F20"/>
          <w:sz w:val="18"/>
          <w:szCs w:val="18"/>
        </w:rPr>
        <w:t>Urban</w:t>
      </w:r>
      <w:proofErr w:type="spellEnd"/>
      <w:r>
        <w:rPr>
          <w:color w:val="231F20"/>
          <w:sz w:val="18"/>
          <w:szCs w:val="18"/>
        </w:rPr>
        <w:t xml:space="preserve"> </w:t>
      </w:r>
      <w:proofErr w:type="spellStart"/>
      <w:r>
        <w:rPr>
          <w:color w:val="231F20"/>
          <w:sz w:val="18"/>
          <w:szCs w:val="18"/>
        </w:rPr>
        <w:t>logistics</w:t>
      </w:r>
      <w:proofErr w:type="spellEnd"/>
      <w:r>
        <w:rPr>
          <w:color w:val="231F20"/>
          <w:sz w:val="18"/>
          <w:szCs w:val="18"/>
        </w:rPr>
        <w:t xml:space="preserve"> and </w:t>
      </w:r>
      <w:proofErr w:type="spellStart"/>
      <w:r>
        <w:rPr>
          <w:color w:val="231F20"/>
          <w:sz w:val="18"/>
          <w:szCs w:val="18"/>
        </w:rPr>
        <w:t>mobility</w:t>
      </w:r>
      <w:proofErr w:type="spellEnd"/>
      <w:r>
        <w:rPr>
          <w:color w:val="231F20"/>
          <w:sz w:val="18"/>
          <w:szCs w:val="18"/>
        </w:rPr>
        <w:t xml:space="preserve"> are </w:t>
      </w:r>
      <w:proofErr w:type="spellStart"/>
      <w:r>
        <w:rPr>
          <w:color w:val="231F20"/>
          <w:sz w:val="18"/>
          <w:szCs w:val="18"/>
        </w:rPr>
        <w:t>terms</w:t>
      </w:r>
      <w:proofErr w:type="spellEnd"/>
      <w:r>
        <w:rPr>
          <w:color w:val="231F20"/>
          <w:sz w:val="18"/>
          <w:szCs w:val="18"/>
        </w:rPr>
        <w:t xml:space="preserve"> </w:t>
      </w:r>
      <w:proofErr w:type="spellStart"/>
      <w:r>
        <w:rPr>
          <w:color w:val="231F20"/>
          <w:sz w:val="18"/>
          <w:szCs w:val="18"/>
        </w:rPr>
        <w:t>that</w:t>
      </w:r>
      <w:proofErr w:type="spellEnd"/>
      <w:r>
        <w:rPr>
          <w:color w:val="231F20"/>
          <w:sz w:val="18"/>
          <w:szCs w:val="18"/>
        </w:rPr>
        <w:t xml:space="preserve"> </w:t>
      </w:r>
      <w:proofErr w:type="spellStart"/>
      <w:r>
        <w:rPr>
          <w:color w:val="231F20"/>
          <w:sz w:val="18"/>
          <w:szCs w:val="18"/>
        </w:rPr>
        <w:t>go</w:t>
      </w:r>
      <w:proofErr w:type="spellEnd"/>
      <w:r>
        <w:rPr>
          <w:color w:val="231F20"/>
          <w:sz w:val="18"/>
          <w:szCs w:val="18"/>
        </w:rPr>
        <w:t xml:space="preserve"> </w:t>
      </w:r>
      <w:proofErr w:type="spellStart"/>
      <w:r>
        <w:rPr>
          <w:color w:val="231F20"/>
          <w:sz w:val="18"/>
          <w:szCs w:val="18"/>
        </w:rPr>
        <w:t>hand</w:t>
      </w:r>
      <w:proofErr w:type="spellEnd"/>
      <w:r>
        <w:rPr>
          <w:color w:val="231F20"/>
          <w:sz w:val="18"/>
          <w:szCs w:val="18"/>
        </w:rPr>
        <w:t xml:space="preserve"> in </w:t>
      </w:r>
      <w:proofErr w:type="spellStart"/>
      <w:r>
        <w:rPr>
          <w:color w:val="231F20"/>
          <w:sz w:val="18"/>
          <w:szCs w:val="18"/>
        </w:rPr>
        <w:t>hand</w:t>
      </w:r>
      <w:proofErr w:type="spellEnd"/>
      <w:r>
        <w:rPr>
          <w:color w:val="231F20"/>
          <w:sz w:val="18"/>
          <w:szCs w:val="18"/>
        </w:rPr>
        <w:t xml:space="preserve"> in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development</w:t>
      </w:r>
      <w:proofErr w:type="spellEnd"/>
      <w:r>
        <w:rPr>
          <w:color w:val="231F20"/>
          <w:sz w:val="18"/>
          <w:szCs w:val="18"/>
        </w:rPr>
        <w:t xml:space="preserve"> and </w:t>
      </w:r>
      <w:proofErr w:type="spellStart"/>
      <w:r>
        <w:rPr>
          <w:color w:val="231F20"/>
          <w:sz w:val="18"/>
          <w:szCs w:val="18"/>
        </w:rPr>
        <w:t>improvement</w:t>
      </w:r>
      <w:proofErr w:type="spellEnd"/>
      <w:r>
        <w:rPr>
          <w:color w:val="231F20"/>
          <w:sz w:val="18"/>
          <w:szCs w:val="18"/>
        </w:rPr>
        <w:t xml:space="preserve"> of </w:t>
      </w:r>
      <w:proofErr w:type="spellStart"/>
      <w:r>
        <w:rPr>
          <w:color w:val="231F20"/>
          <w:sz w:val="18"/>
          <w:szCs w:val="18"/>
        </w:rPr>
        <w:t>urban</w:t>
      </w:r>
      <w:proofErr w:type="spellEnd"/>
      <w:r>
        <w:rPr>
          <w:color w:val="231F20"/>
          <w:sz w:val="18"/>
          <w:szCs w:val="18"/>
        </w:rPr>
        <w:t xml:space="preserve"> </w:t>
      </w:r>
      <w:proofErr w:type="spellStart"/>
      <w:r>
        <w:rPr>
          <w:color w:val="231F20"/>
          <w:sz w:val="18"/>
          <w:szCs w:val="18"/>
        </w:rPr>
        <w:t>territories</w:t>
      </w:r>
      <w:proofErr w:type="spellEnd"/>
      <w:r>
        <w:rPr>
          <w:color w:val="231F20"/>
          <w:sz w:val="18"/>
          <w:szCs w:val="18"/>
        </w:rPr>
        <w:t xml:space="preserve">. </w:t>
      </w:r>
      <w:proofErr w:type="spellStart"/>
      <w:r>
        <w:rPr>
          <w:color w:val="231F20"/>
          <w:sz w:val="18"/>
          <w:szCs w:val="18"/>
        </w:rPr>
        <w:t>This</w:t>
      </w:r>
      <w:proofErr w:type="spellEnd"/>
      <w:r>
        <w:rPr>
          <w:color w:val="231F20"/>
          <w:sz w:val="18"/>
          <w:szCs w:val="18"/>
        </w:rPr>
        <w:t xml:space="preserve"> </w:t>
      </w:r>
      <w:proofErr w:type="spellStart"/>
      <w:r>
        <w:rPr>
          <w:color w:val="231F20"/>
          <w:sz w:val="18"/>
          <w:szCs w:val="18"/>
        </w:rPr>
        <w:t>mu</w:t>
      </w:r>
      <w:r>
        <w:rPr>
          <w:color w:val="231F20"/>
          <w:sz w:val="18"/>
          <w:szCs w:val="18"/>
        </w:rPr>
        <w:t>st</w:t>
      </w:r>
      <w:proofErr w:type="spellEnd"/>
      <w:r>
        <w:rPr>
          <w:color w:val="231F20"/>
          <w:sz w:val="18"/>
          <w:szCs w:val="18"/>
        </w:rPr>
        <w:t xml:space="preserve"> be </w:t>
      </w:r>
      <w:proofErr w:type="spellStart"/>
      <w:r>
        <w:rPr>
          <w:color w:val="231F20"/>
          <w:sz w:val="18"/>
          <w:szCs w:val="18"/>
        </w:rPr>
        <w:t>approached</w:t>
      </w:r>
      <w:proofErr w:type="spellEnd"/>
      <w:r>
        <w:rPr>
          <w:color w:val="231F20"/>
          <w:sz w:val="18"/>
          <w:szCs w:val="18"/>
        </w:rPr>
        <w:t xml:space="preserve"> </w:t>
      </w:r>
      <w:proofErr w:type="spellStart"/>
      <w:r>
        <w:rPr>
          <w:color w:val="231F20"/>
          <w:sz w:val="18"/>
          <w:szCs w:val="18"/>
        </w:rPr>
        <w:t>considering</w:t>
      </w:r>
      <w:proofErr w:type="spellEnd"/>
      <w:r>
        <w:rPr>
          <w:color w:val="231F20"/>
          <w:sz w:val="18"/>
          <w:szCs w:val="18"/>
        </w:rPr>
        <w:t xml:space="preserve"> </w:t>
      </w:r>
      <w:proofErr w:type="spellStart"/>
      <w:r>
        <w:rPr>
          <w:color w:val="231F20"/>
          <w:sz w:val="18"/>
          <w:szCs w:val="18"/>
        </w:rPr>
        <w:t>factors</w:t>
      </w:r>
      <w:proofErr w:type="spellEnd"/>
      <w:r>
        <w:rPr>
          <w:color w:val="231F20"/>
          <w:sz w:val="18"/>
          <w:szCs w:val="18"/>
        </w:rPr>
        <w:t xml:space="preserve"> </w:t>
      </w:r>
      <w:proofErr w:type="spellStart"/>
      <w:r>
        <w:rPr>
          <w:color w:val="231F20"/>
          <w:sz w:val="18"/>
          <w:szCs w:val="18"/>
        </w:rPr>
        <w:t>such</w:t>
      </w:r>
      <w:proofErr w:type="spellEnd"/>
      <w:r>
        <w:rPr>
          <w:color w:val="231F20"/>
          <w:sz w:val="18"/>
          <w:szCs w:val="18"/>
        </w:rPr>
        <w:t xml:space="preserve"> as </w:t>
      </w:r>
      <w:proofErr w:type="spellStart"/>
      <w:r>
        <w:rPr>
          <w:color w:val="231F20"/>
          <w:sz w:val="18"/>
          <w:szCs w:val="18"/>
        </w:rPr>
        <w:t>cooperation</w:t>
      </w:r>
      <w:proofErr w:type="spellEnd"/>
      <w:r>
        <w:rPr>
          <w:color w:val="231F20"/>
          <w:sz w:val="18"/>
          <w:szCs w:val="18"/>
        </w:rPr>
        <w:t xml:space="preserve"> </w:t>
      </w:r>
      <w:proofErr w:type="spellStart"/>
      <w:r>
        <w:rPr>
          <w:color w:val="231F20"/>
          <w:sz w:val="18"/>
          <w:szCs w:val="18"/>
        </w:rPr>
        <w:t>between</w:t>
      </w:r>
      <w:proofErr w:type="spellEnd"/>
      <w:r>
        <w:rPr>
          <w:color w:val="231F20"/>
          <w:sz w:val="18"/>
          <w:szCs w:val="18"/>
        </w:rPr>
        <w:t xml:space="preserve"> </w:t>
      </w:r>
      <w:proofErr w:type="spellStart"/>
      <w:r>
        <w:rPr>
          <w:color w:val="231F20"/>
          <w:sz w:val="18"/>
          <w:szCs w:val="18"/>
        </w:rPr>
        <w:t>companies</w:t>
      </w:r>
      <w:proofErr w:type="spellEnd"/>
      <w:r>
        <w:rPr>
          <w:color w:val="231F20"/>
          <w:sz w:val="18"/>
          <w:szCs w:val="18"/>
        </w:rPr>
        <w:t xml:space="preserve"> in </w:t>
      </w:r>
      <w:proofErr w:type="spellStart"/>
      <w:r>
        <w:rPr>
          <w:color w:val="231F20"/>
          <w:sz w:val="18"/>
          <w:szCs w:val="18"/>
        </w:rPr>
        <w:t>order</w:t>
      </w:r>
      <w:proofErr w:type="spellEnd"/>
      <w:r>
        <w:rPr>
          <w:color w:val="231F20"/>
          <w:sz w:val="18"/>
          <w:szCs w:val="18"/>
        </w:rPr>
        <w:t xml:space="preserve"> to </w:t>
      </w:r>
      <w:proofErr w:type="spellStart"/>
      <w:r>
        <w:rPr>
          <w:color w:val="231F20"/>
          <w:sz w:val="18"/>
          <w:szCs w:val="18"/>
        </w:rPr>
        <w:t>create</w:t>
      </w:r>
      <w:proofErr w:type="spellEnd"/>
      <w:r>
        <w:rPr>
          <w:color w:val="231F20"/>
          <w:sz w:val="18"/>
          <w:szCs w:val="18"/>
        </w:rPr>
        <w:t xml:space="preserve"> </w:t>
      </w:r>
      <w:proofErr w:type="spellStart"/>
      <w:r>
        <w:rPr>
          <w:color w:val="231F20"/>
          <w:sz w:val="18"/>
          <w:szCs w:val="18"/>
        </w:rPr>
        <w:t>synergies</w:t>
      </w:r>
      <w:proofErr w:type="spellEnd"/>
      <w:r>
        <w:rPr>
          <w:color w:val="231F20"/>
          <w:sz w:val="18"/>
          <w:szCs w:val="18"/>
        </w:rPr>
        <w:t xml:space="preserve"> </w:t>
      </w:r>
      <w:proofErr w:type="spellStart"/>
      <w:r>
        <w:rPr>
          <w:color w:val="231F20"/>
          <w:sz w:val="18"/>
          <w:szCs w:val="18"/>
        </w:rPr>
        <w:t>between</w:t>
      </w:r>
      <w:proofErr w:type="spellEnd"/>
      <w:r>
        <w:rPr>
          <w:color w:val="231F20"/>
          <w:sz w:val="18"/>
          <w:szCs w:val="18"/>
        </w:rPr>
        <w:t xml:space="preserve"> </w:t>
      </w:r>
      <w:proofErr w:type="spellStart"/>
      <w:r>
        <w:rPr>
          <w:color w:val="231F20"/>
          <w:sz w:val="18"/>
          <w:szCs w:val="18"/>
        </w:rPr>
        <w:t>governments</w:t>
      </w:r>
      <w:proofErr w:type="spellEnd"/>
      <w:r>
        <w:rPr>
          <w:color w:val="231F20"/>
          <w:sz w:val="18"/>
          <w:szCs w:val="18"/>
        </w:rPr>
        <w:t xml:space="preserve"> and </w:t>
      </w:r>
      <w:proofErr w:type="spellStart"/>
      <w:r>
        <w:rPr>
          <w:color w:val="231F20"/>
          <w:sz w:val="18"/>
          <w:szCs w:val="18"/>
        </w:rPr>
        <w:t>companies</w:t>
      </w:r>
      <w:proofErr w:type="spellEnd"/>
      <w:r>
        <w:rPr>
          <w:color w:val="231F20"/>
          <w:sz w:val="18"/>
          <w:szCs w:val="18"/>
        </w:rPr>
        <w:t xml:space="preserve">,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appropriate</w:t>
      </w:r>
      <w:proofErr w:type="spellEnd"/>
      <w:r>
        <w:rPr>
          <w:color w:val="231F20"/>
          <w:sz w:val="18"/>
          <w:szCs w:val="18"/>
        </w:rPr>
        <w:t xml:space="preserve"> use of </w:t>
      </w:r>
      <w:proofErr w:type="spellStart"/>
      <w:r>
        <w:rPr>
          <w:color w:val="231F20"/>
          <w:sz w:val="18"/>
          <w:szCs w:val="18"/>
        </w:rPr>
        <w:t>technologies</w:t>
      </w:r>
      <w:proofErr w:type="spellEnd"/>
      <w:r>
        <w:rPr>
          <w:color w:val="231F20"/>
          <w:sz w:val="18"/>
          <w:szCs w:val="18"/>
        </w:rPr>
        <w:t xml:space="preserve"> to </w:t>
      </w:r>
      <w:proofErr w:type="spellStart"/>
      <w:r>
        <w:rPr>
          <w:color w:val="231F20"/>
          <w:sz w:val="18"/>
          <w:szCs w:val="18"/>
        </w:rPr>
        <w:t>generate</w:t>
      </w:r>
      <w:proofErr w:type="spellEnd"/>
      <w:r>
        <w:rPr>
          <w:color w:val="231F20"/>
          <w:sz w:val="18"/>
          <w:szCs w:val="18"/>
        </w:rPr>
        <w:t xml:space="preserve"> more </w:t>
      </w:r>
      <w:proofErr w:type="spellStart"/>
      <w:r>
        <w:rPr>
          <w:color w:val="231F20"/>
          <w:sz w:val="18"/>
          <w:szCs w:val="18"/>
        </w:rPr>
        <w:t>efficient</w:t>
      </w:r>
      <w:proofErr w:type="spellEnd"/>
      <w:r>
        <w:rPr>
          <w:color w:val="231F20"/>
          <w:sz w:val="18"/>
          <w:szCs w:val="18"/>
        </w:rPr>
        <w:t xml:space="preserve"> </w:t>
      </w:r>
      <w:proofErr w:type="spellStart"/>
      <w:r>
        <w:rPr>
          <w:color w:val="231F20"/>
          <w:sz w:val="18"/>
          <w:szCs w:val="18"/>
        </w:rPr>
        <w:t>services</w:t>
      </w:r>
      <w:proofErr w:type="spellEnd"/>
      <w:r>
        <w:rPr>
          <w:color w:val="231F20"/>
          <w:sz w:val="18"/>
          <w:szCs w:val="18"/>
        </w:rPr>
        <w:t xml:space="preserve"> and </w:t>
      </w:r>
      <w:proofErr w:type="spellStart"/>
      <w:r>
        <w:rPr>
          <w:color w:val="231F20"/>
          <w:sz w:val="18"/>
          <w:szCs w:val="18"/>
        </w:rPr>
        <w:t>plans</w:t>
      </w:r>
      <w:proofErr w:type="spellEnd"/>
      <w:r>
        <w:rPr>
          <w:color w:val="231F20"/>
          <w:sz w:val="18"/>
          <w:szCs w:val="18"/>
        </w:rPr>
        <w:t xml:space="preserve">, </w:t>
      </w:r>
      <w:proofErr w:type="spellStart"/>
      <w:r>
        <w:rPr>
          <w:color w:val="231F20"/>
          <w:sz w:val="18"/>
          <w:szCs w:val="18"/>
        </w:rPr>
        <w:t>proper</w:t>
      </w:r>
      <w:proofErr w:type="spellEnd"/>
      <w:r>
        <w:rPr>
          <w:color w:val="231F20"/>
          <w:sz w:val="18"/>
          <w:szCs w:val="18"/>
        </w:rPr>
        <w:t xml:space="preserve"> </w:t>
      </w:r>
      <w:proofErr w:type="spellStart"/>
      <w:r>
        <w:rPr>
          <w:color w:val="231F20"/>
          <w:sz w:val="18"/>
          <w:szCs w:val="18"/>
        </w:rPr>
        <w:t>planning</w:t>
      </w:r>
      <w:proofErr w:type="spellEnd"/>
      <w:r>
        <w:rPr>
          <w:color w:val="231F20"/>
          <w:sz w:val="18"/>
          <w:szCs w:val="18"/>
        </w:rPr>
        <w:t xml:space="preserve"> of </w:t>
      </w:r>
      <w:proofErr w:type="spellStart"/>
      <w:r>
        <w:rPr>
          <w:color w:val="231F20"/>
          <w:sz w:val="18"/>
          <w:szCs w:val="18"/>
        </w:rPr>
        <w:t>urban</w:t>
      </w:r>
      <w:proofErr w:type="spellEnd"/>
      <w:r>
        <w:rPr>
          <w:color w:val="231F20"/>
          <w:sz w:val="18"/>
          <w:szCs w:val="18"/>
        </w:rPr>
        <w:t xml:space="preserve"> </w:t>
      </w:r>
      <w:proofErr w:type="spellStart"/>
      <w:r>
        <w:rPr>
          <w:color w:val="231F20"/>
          <w:sz w:val="18"/>
          <w:szCs w:val="18"/>
        </w:rPr>
        <w:t>freight</w:t>
      </w:r>
      <w:proofErr w:type="spellEnd"/>
      <w:r>
        <w:rPr>
          <w:color w:val="231F20"/>
          <w:sz w:val="18"/>
          <w:szCs w:val="18"/>
        </w:rPr>
        <w:t xml:space="preserve"> </w:t>
      </w:r>
      <w:proofErr w:type="spellStart"/>
      <w:r>
        <w:rPr>
          <w:color w:val="231F20"/>
          <w:sz w:val="18"/>
          <w:szCs w:val="18"/>
        </w:rPr>
        <w:t>t</w:t>
      </w:r>
      <w:r>
        <w:rPr>
          <w:color w:val="231F20"/>
          <w:sz w:val="18"/>
          <w:szCs w:val="18"/>
        </w:rPr>
        <w:t>ransport</w:t>
      </w:r>
      <w:proofErr w:type="spellEnd"/>
      <w:r>
        <w:rPr>
          <w:color w:val="231F20"/>
          <w:sz w:val="18"/>
          <w:szCs w:val="18"/>
        </w:rPr>
        <w:t xml:space="preserve"> </w:t>
      </w:r>
      <w:proofErr w:type="spellStart"/>
      <w:r>
        <w:rPr>
          <w:color w:val="231F20"/>
          <w:sz w:val="18"/>
          <w:szCs w:val="18"/>
        </w:rPr>
        <w:t>considering</w:t>
      </w:r>
      <w:proofErr w:type="spellEnd"/>
      <w:r>
        <w:rPr>
          <w:color w:val="231F20"/>
          <w:sz w:val="18"/>
          <w:szCs w:val="18"/>
        </w:rPr>
        <w:t xml:space="preserve">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inconveniences</w:t>
      </w:r>
      <w:proofErr w:type="spellEnd"/>
      <w:r>
        <w:rPr>
          <w:color w:val="231F20"/>
          <w:sz w:val="18"/>
          <w:szCs w:val="18"/>
        </w:rPr>
        <w:t xml:space="preserve"> </w:t>
      </w:r>
      <w:proofErr w:type="spellStart"/>
      <w:r>
        <w:rPr>
          <w:color w:val="231F20"/>
          <w:sz w:val="18"/>
          <w:szCs w:val="18"/>
        </w:rPr>
        <w:t>caused</w:t>
      </w:r>
      <w:proofErr w:type="spellEnd"/>
      <w:r>
        <w:rPr>
          <w:color w:val="231F20"/>
          <w:sz w:val="18"/>
          <w:szCs w:val="18"/>
        </w:rPr>
        <w:t xml:space="preserve"> </w:t>
      </w:r>
      <w:proofErr w:type="spellStart"/>
      <w:r>
        <w:rPr>
          <w:color w:val="231F20"/>
          <w:sz w:val="18"/>
          <w:szCs w:val="18"/>
        </w:rPr>
        <w:t>during</w:t>
      </w:r>
      <w:proofErr w:type="spellEnd"/>
      <w:r>
        <w:rPr>
          <w:color w:val="231F20"/>
          <w:sz w:val="18"/>
          <w:szCs w:val="18"/>
        </w:rPr>
        <w:t xml:space="preserve"> </w:t>
      </w:r>
      <w:proofErr w:type="spellStart"/>
      <w:r>
        <w:rPr>
          <w:color w:val="231F20"/>
          <w:sz w:val="18"/>
          <w:szCs w:val="18"/>
        </w:rPr>
        <w:t>last</w:t>
      </w:r>
      <w:proofErr w:type="spellEnd"/>
      <w:r>
        <w:rPr>
          <w:color w:val="231F20"/>
          <w:sz w:val="18"/>
          <w:szCs w:val="18"/>
        </w:rPr>
        <w:t xml:space="preserve"> </w:t>
      </w:r>
      <w:proofErr w:type="spellStart"/>
      <w:r>
        <w:rPr>
          <w:color w:val="231F20"/>
          <w:sz w:val="18"/>
          <w:szCs w:val="18"/>
        </w:rPr>
        <w:t>mile</w:t>
      </w:r>
      <w:proofErr w:type="spellEnd"/>
      <w:r>
        <w:rPr>
          <w:color w:val="231F20"/>
          <w:sz w:val="18"/>
          <w:szCs w:val="18"/>
        </w:rPr>
        <w:t xml:space="preserve"> </w:t>
      </w:r>
      <w:proofErr w:type="spellStart"/>
      <w:r>
        <w:rPr>
          <w:color w:val="231F20"/>
          <w:sz w:val="18"/>
          <w:szCs w:val="18"/>
        </w:rPr>
        <w:t>deliveries</w:t>
      </w:r>
      <w:proofErr w:type="spellEnd"/>
      <w:r>
        <w:rPr>
          <w:color w:val="231F20"/>
          <w:sz w:val="18"/>
          <w:szCs w:val="18"/>
        </w:rPr>
        <w:t xml:space="preserve">. </w:t>
      </w:r>
    </w:p>
    <w:p w:rsidR="00BF7DF3" w:rsidRDefault="009709B5">
      <w:pPr>
        <w:spacing w:before="95" w:line="241" w:lineRule="auto"/>
        <w:ind w:left="110"/>
        <w:rPr>
          <w:color w:val="231F20"/>
          <w:sz w:val="18"/>
          <w:szCs w:val="18"/>
        </w:rPr>
      </w:pPr>
      <w:proofErr w:type="spellStart"/>
      <w:r>
        <w:rPr>
          <w:color w:val="231F20"/>
          <w:sz w:val="18"/>
          <w:szCs w:val="18"/>
        </w:rPr>
        <w:t>Europe</w:t>
      </w:r>
      <w:proofErr w:type="spellEnd"/>
      <w:r>
        <w:rPr>
          <w:color w:val="231F20"/>
          <w:sz w:val="18"/>
          <w:szCs w:val="18"/>
        </w:rPr>
        <w:t xml:space="preserve"> has </w:t>
      </w:r>
      <w:proofErr w:type="spellStart"/>
      <w:r>
        <w:rPr>
          <w:color w:val="231F20"/>
          <w:sz w:val="18"/>
          <w:szCs w:val="18"/>
        </w:rPr>
        <w:t>already</w:t>
      </w:r>
      <w:proofErr w:type="spellEnd"/>
      <w:r>
        <w:rPr>
          <w:color w:val="231F20"/>
          <w:sz w:val="18"/>
          <w:szCs w:val="18"/>
        </w:rPr>
        <w:t xml:space="preserve"> </w:t>
      </w:r>
      <w:proofErr w:type="spellStart"/>
      <w:r>
        <w:rPr>
          <w:color w:val="231F20"/>
          <w:sz w:val="18"/>
          <w:szCs w:val="18"/>
        </w:rPr>
        <w:t>started</w:t>
      </w:r>
      <w:proofErr w:type="spellEnd"/>
      <w:r>
        <w:rPr>
          <w:color w:val="231F20"/>
          <w:sz w:val="18"/>
          <w:szCs w:val="18"/>
        </w:rPr>
        <w:t xml:space="preserve"> to </w:t>
      </w:r>
      <w:proofErr w:type="spellStart"/>
      <w:r>
        <w:rPr>
          <w:color w:val="231F20"/>
          <w:sz w:val="18"/>
          <w:szCs w:val="18"/>
        </w:rPr>
        <w:t>go</w:t>
      </w:r>
      <w:proofErr w:type="spellEnd"/>
      <w:r>
        <w:rPr>
          <w:color w:val="231F20"/>
          <w:sz w:val="18"/>
          <w:szCs w:val="18"/>
        </w:rPr>
        <w:t xml:space="preserve"> </w:t>
      </w:r>
      <w:proofErr w:type="spellStart"/>
      <w:r>
        <w:rPr>
          <w:color w:val="231F20"/>
          <w:sz w:val="18"/>
          <w:szCs w:val="18"/>
        </w:rPr>
        <w:t>down</w:t>
      </w:r>
      <w:proofErr w:type="spellEnd"/>
      <w:r>
        <w:rPr>
          <w:color w:val="231F20"/>
          <w:sz w:val="18"/>
          <w:szCs w:val="18"/>
        </w:rPr>
        <w:t xml:space="preserve"> </w:t>
      </w:r>
      <w:proofErr w:type="spellStart"/>
      <w:r>
        <w:rPr>
          <w:color w:val="231F20"/>
          <w:sz w:val="18"/>
          <w:szCs w:val="18"/>
        </w:rPr>
        <w:t>this</w:t>
      </w:r>
      <w:proofErr w:type="spellEnd"/>
      <w:r>
        <w:rPr>
          <w:color w:val="231F20"/>
          <w:sz w:val="18"/>
          <w:szCs w:val="18"/>
        </w:rPr>
        <w:t xml:space="preserve"> </w:t>
      </w:r>
      <w:proofErr w:type="spellStart"/>
      <w:r>
        <w:rPr>
          <w:color w:val="231F20"/>
          <w:sz w:val="18"/>
          <w:szCs w:val="18"/>
        </w:rPr>
        <w:t>path</w:t>
      </w:r>
      <w:proofErr w:type="spellEnd"/>
      <w:r>
        <w:rPr>
          <w:color w:val="231F20"/>
          <w:sz w:val="18"/>
          <w:szCs w:val="18"/>
        </w:rPr>
        <w:t xml:space="preserve"> </w:t>
      </w:r>
      <w:proofErr w:type="spellStart"/>
      <w:r>
        <w:rPr>
          <w:color w:val="231F20"/>
          <w:sz w:val="18"/>
          <w:szCs w:val="18"/>
        </w:rPr>
        <w:t>thanks</w:t>
      </w:r>
      <w:proofErr w:type="spellEnd"/>
      <w:r>
        <w:rPr>
          <w:color w:val="231F20"/>
          <w:sz w:val="18"/>
          <w:szCs w:val="18"/>
        </w:rPr>
        <w:t xml:space="preserve"> to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creation</w:t>
      </w:r>
      <w:proofErr w:type="spellEnd"/>
      <w:r>
        <w:rPr>
          <w:color w:val="231F20"/>
          <w:sz w:val="18"/>
          <w:szCs w:val="18"/>
        </w:rPr>
        <w:t xml:space="preserve"> of </w:t>
      </w:r>
      <w:proofErr w:type="spellStart"/>
      <w:r>
        <w:rPr>
          <w:color w:val="231F20"/>
          <w:sz w:val="18"/>
          <w:szCs w:val="18"/>
        </w:rPr>
        <w:t>Sustainable</w:t>
      </w:r>
      <w:proofErr w:type="spellEnd"/>
      <w:r>
        <w:rPr>
          <w:color w:val="231F20"/>
          <w:sz w:val="18"/>
          <w:szCs w:val="18"/>
        </w:rPr>
        <w:t xml:space="preserve"> </w:t>
      </w:r>
      <w:proofErr w:type="spellStart"/>
      <w:r>
        <w:rPr>
          <w:color w:val="231F20"/>
          <w:sz w:val="18"/>
          <w:szCs w:val="18"/>
        </w:rPr>
        <w:t>Urban</w:t>
      </w:r>
      <w:proofErr w:type="spellEnd"/>
      <w:r>
        <w:rPr>
          <w:color w:val="231F20"/>
          <w:sz w:val="18"/>
          <w:szCs w:val="18"/>
        </w:rPr>
        <w:t xml:space="preserve"> </w:t>
      </w:r>
      <w:proofErr w:type="spellStart"/>
      <w:r>
        <w:rPr>
          <w:color w:val="231F20"/>
          <w:sz w:val="18"/>
          <w:szCs w:val="18"/>
        </w:rPr>
        <w:t>Mobility</w:t>
      </w:r>
      <w:proofErr w:type="spellEnd"/>
      <w:r>
        <w:rPr>
          <w:color w:val="231F20"/>
          <w:sz w:val="18"/>
          <w:szCs w:val="18"/>
        </w:rPr>
        <w:t xml:space="preserve"> </w:t>
      </w:r>
      <w:proofErr w:type="spellStart"/>
      <w:r>
        <w:rPr>
          <w:color w:val="231F20"/>
          <w:sz w:val="18"/>
          <w:szCs w:val="18"/>
        </w:rPr>
        <w:t>Plans</w:t>
      </w:r>
      <w:proofErr w:type="spellEnd"/>
      <w:r>
        <w:rPr>
          <w:color w:val="231F20"/>
          <w:sz w:val="18"/>
          <w:szCs w:val="18"/>
        </w:rPr>
        <w:t xml:space="preserve"> (PMUS), </w:t>
      </w:r>
      <w:proofErr w:type="spellStart"/>
      <w:r>
        <w:rPr>
          <w:color w:val="231F20"/>
          <w:sz w:val="18"/>
          <w:szCs w:val="18"/>
        </w:rPr>
        <w:t>Sustainable</w:t>
      </w:r>
      <w:proofErr w:type="spellEnd"/>
      <w:r>
        <w:rPr>
          <w:color w:val="231F20"/>
          <w:sz w:val="18"/>
          <w:szCs w:val="18"/>
        </w:rPr>
        <w:t xml:space="preserve"> </w:t>
      </w:r>
      <w:proofErr w:type="spellStart"/>
      <w:r>
        <w:rPr>
          <w:color w:val="231F20"/>
          <w:sz w:val="18"/>
          <w:szCs w:val="18"/>
        </w:rPr>
        <w:t>Urban</w:t>
      </w:r>
      <w:proofErr w:type="spellEnd"/>
      <w:r>
        <w:rPr>
          <w:color w:val="231F20"/>
          <w:sz w:val="18"/>
          <w:szCs w:val="18"/>
        </w:rPr>
        <w:t xml:space="preserve"> </w:t>
      </w:r>
      <w:proofErr w:type="spellStart"/>
      <w:r>
        <w:rPr>
          <w:color w:val="231F20"/>
          <w:sz w:val="18"/>
          <w:szCs w:val="18"/>
        </w:rPr>
        <w:t>Transport</w:t>
      </w:r>
      <w:proofErr w:type="spellEnd"/>
      <w:r>
        <w:rPr>
          <w:color w:val="231F20"/>
          <w:sz w:val="18"/>
          <w:szCs w:val="18"/>
        </w:rPr>
        <w:t xml:space="preserve"> </w:t>
      </w:r>
      <w:proofErr w:type="spellStart"/>
      <w:r>
        <w:rPr>
          <w:color w:val="231F20"/>
          <w:sz w:val="18"/>
          <w:szCs w:val="18"/>
        </w:rPr>
        <w:t>Plans</w:t>
      </w:r>
      <w:proofErr w:type="spellEnd"/>
      <w:r>
        <w:rPr>
          <w:color w:val="231F20"/>
          <w:sz w:val="18"/>
          <w:szCs w:val="18"/>
        </w:rPr>
        <w:t xml:space="preserve"> (PTUS) and </w:t>
      </w:r>
      <w:proofErr w:type="spellStart"/>
      <w:r>
        <w:rPr>
          <w:color w:val="231F20"/>
          <w:sz w:val="18"/>
          <w:szCs w:val="18"/>
        </w:rPr>
        <w:t>Sustainable</w:t>
      </w:r>
      <w:proofErr w:type="spellEnd"/>
      <w:r>
        <w:rPr>
          <w:color w:val="231F20"/>
          <w:sz w:val="18"/>
          <w:szCs w:val="18"/>
        </w:rPr>
        <w:t xml:space="preserve"> </w:t>
      </w:r>
      <w:proofErr w:type="spellStart"/>
      <w:r>
        <w:rPr>
          <w:color w:val="231F20"/>
          <w:sz w:val="18"/>
          <w:szCs w:val="18"/>
        </w:rPr>
        <w:t>Urban</w:t>
      </w:r>
      <w:proofErr w:type="spellEnd"/>
      <w:r>
        <w:rPr>
          <w:color w:val="231F20"/>
          <w:sz w:val="18"/>
          <w:szCs w:val="18"/>
        </w:rPr>
        <w:t xml:space="preserve"> </w:t>
      </w:r>
      <w:proofErr w:type="spellStart"/>
      <w:r>
        <w:rPr>
          <w:color w:val="231F20"/>
          <w:sz w:val="18"/>
          <w:szCs w:val="18"/>
        </w:rPr>
        <w:t>L</w:t>
      </w:r>
      <w:r>
        <w:rPr>
          <w:color w:val="231F20"/>
          <w:sz w:val="18"/>
          <w:szCs w:val="18"/>
        </w:rPr>
        <w:t>ogistics</w:t>
      </w:r>
      <w:proofErr w:type="spellEnd"/>
      <w:r>
        <w:rPr>
          <w:color w:val="231F20"/>
          <w:sz w:val="18"/>
          <w:szCs w:val="18"/>
        </w:rPr>
        <w:t xml:space="preserve"> </w:t>
      </w:r>
      <w:proofErr w:type="spellStart"/>
      <w:r>
        <w:rPr>
          <w:color w:val="231F20"/>
          <w:sz w:val="18"/>
          <w:szCs w:val="18"/>
        </w:rPr>
        <w:t>Plans</w:t>
      </w:r>
      <w:proofErr w:type="spellEnd"/>
      <w:r>
        <w:rPr>
          <w:color w:val="231F20"/>
          <w:sz w:val="18"/>
          <w:szCs w:val="18"/>
        </w:rPr>
        <w:t xml:space="preserve"> (SULP) </w:t>
      </w:r>
      <w:proofErr w:type="spellStart"/>
      <w:r>
        <w:rPr>
          <w:color w:val="231F20"/>
          <w:sz w:val="18"/>
          <w:szCs w:val="18"/>
        </w:rPr>
        <w:t>where</w:t>
      </w:r>
      <w:proofErr w:type="spellEnd"/>
      <w:r>
        <w:rPr>
          <w:color w:val="231F20"/>
          <w:sz w:val="18"/>
          <w:szCs w:val="18"/>
        </w:rPr>
        <w:t xml:space="preserve"> </w:t>
      </w:r>
      <w:proofErr w:type="spellStart"/>
      <w:r>
        <w:rPr>
          <w:color w:val="231F20"/>
          <w:sz w:val="18"/>
          <w:szCs w:val="18"/>
        </w:rPr>
        <w:t>through</w:t>
      </w:r>
      <w:proofErr w:type="spellEnd"/>
      <w:r>
        <w:rPr>
          <w:color w:val="231F20"/>
          <w:sz w:val="18"/>
          <w:szCs w:val="18"/>
        </w:rPr>
        <w:t xml:space="preserve">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analysis</w:t>
      </w:r>
      <w:proofErr w:type="spellEnd"/>
      <w:r>
        <w:rPr>
          <w:color w:val="231F20"/>
          <w:sz w:val="18"/>
          <w:szCs w:val="18"/>
        </w:rPr>
        <w:t xml:space="preserve"> of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needs</w:t>
      </w:r>
      <w:proofErr w:type="spellEnd"/>
      <w:r>
        <w:rPr>
          <w:color w:val="231F20"/>
          <w:sz w:val="18"/>
          <w:szCs w:val="18"/>
        </w:rPr>
        <w:t xml:space="preserve"> of </w:t>
      </w:r>
      <w:proofErr w:type="spellStart"/>
      <w:r>
        <w:rPr>
          <w:color w:val="231F20"/>
          <w:sz w:val="18"/>
          <w:szCs w:val="18"/>
        </w:rPr>
        <w:t>each</w:t>
      </w:r>
      <w:proofErr w:type="spellEnd"/>
      <w:r>
        <w:rPr>
          <w:color w:val="231F20"/>
          <w:sz w:val="18"/>
          <w:szCs w:val="18"/>
        </w:rPr>
        <w:t xml:space="preserve"> </w:t>
      </w:r>
      <w:proofErr w:type="spellStart"/>
      <w:r>
        <w:rPr>
          <w:color w:val="231F20"/>
          <w:sz w:val="18"/>
          <w:szCs w:val="18"/>
        </w:rPr>
        <w:t>city</w:t>
      </w:r>
      <w:proofErr w:type="spellEnd"/>
      <w:r>
        <w:rPr>
          <w:color w:val="231F20"/>
          <w:sz w:val="18"/>
          <w:szCs w:val="18"/>
        </w:rPr>
        <w:t xml:space="preserve"> </w:t>
      </w:r>
      <w:proofErr w:type="spellStart"/>
      <w:r>
        <w:rPr>
          <w:color w:val="231F20"/>
          <w:sz w:val="18"/>
          <w:szCs w:val="18"/>
        </w:rPr>
        <w:t>it</w:t>
      </w:r>
      <w:proofErr w:type="spellEnd"/>
      <w:r>
        <w:rPr>
          <w:color w:val="231F20"/>
          <w:sz w:val="18"/>
          <w:szCs w:val="18"/>
        </w:rPr>
        <w:t xml:space="preserve"> </w:t>
      </w:r>
      <w:proofErr w:type="spellStart"/>
      <w:r>
        <w:rPr>
          <w:color w:val="231F20"/>
          <w:sz w:val="18"/>
          <w:szCs w:val="18"/>
        </w:rPr>
        <w:t>is</w:t>
      </w:r>
      <w:proofErr w:type="spellEnd"/>
      <w:r>
        <w:rPr>
          <w:color w:val="231F20"/>
          <w:sz w:val="18"/>
          <w:szCs w:val="18"/>
        </w:rPr>
        <w:t xml:space="preserve"> </w:t>
      </w:r>
      <w:proofErr w:type="spellStart"/>
      <w:r>
        <w:rPr>
          <w:color w:val="231F20"/>
          <w:sz w:val="18"/>
          <w:szCs w:val="18"/>
        </w:rPr>
        <w:t>determined</w:t>
      </w:r>
      <w:proofErr w:type="spellEnd"/>
      <w:r>
        <w:rPr>
          <w:color w:val="231F20"/>
          <w:sz w:val="18"/>
          <w:szCs w:val="18"/>
        </w:rPr>
        <w:t xml:space="preserve"> </w:t>
      </w:r>
      <w:proofErr w:type="spellStart"/>
      <w:r>
        <w:rPr>
          <w:color w:val="231F20"/>
          <w:sz w:val="18"/>
          <w:szCs w:val="18"/>
        </w:rPr>
        <w:t>what</w:t>
      </w:r>
      <w:proofErr w:type="spellEnd"/>
      <w:r>
        <w:rPr>
          <w:color w:val="231F20"/>
          <w:sz w:val="18"/>
          <w:szCs w:val="18"/>
        </w:rPr>
        <w:t xml:space="preserve"> </w:t>
      </w:r>
      <w:proofErr w:type="spellStart"/>
      <w:r>
        <w:rPr>
          <w:color w:val="231F20"/>
          <w:sz w:val="18"/>
          <w:szCs w:val="18"/>
        </w:rPr>
        <w:t>type</w:t>
      </w:r>
      <w:proofErr w:type="spellEnd"/>
      <w:r>
        <w:rPr>
          <w:color w:val="231F20"/>
          <w:sz w:val="18"/>
          <w:szCs w:val="18"/>
        </w:rPr>
        <w:t xml:space="preserve"> of plan </w:t>
      </w:r>
      <w:proofErr w:type="spellStart"/>
      <w:r>
        <w:rPr>
          <w:color w:val="231F20"/>
          <w:sz w:val="18"/>
          <w:szCs w:val="18"/>
        </w:rPr>
        <w:t>is</w:t>
      </w:r>
      <w:proofErr w:type="spellEnd"/>
      <w:r>
        <w:rPr>
          <w:color w:val="231F20"/>
          <w:sz w:val="18"/>
          <w:szCs w:val="18"/>
        </w:rPr>
        <w:t xml:space="preserve">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most</w:t>
      </w:r>
      <w:proofErr w:type="spellEnd"/>
      <w:r>
        <w:rPr>
          <w:color w:val="231F20"/>
          <w:sz w:val="18"/>
          <w:szCs w:val="18"/>
        </w:rPr>
        <w:t xml:space="preserve"> </w:t>
      </w:r>
      <w:proofErr w:type="spellStart"/>
      <w:r>
        <w:rPr>
          <w:color w:val="231F20"/>
          <w:sz w:val="18"/>
          <w:szCs w:val="18"/>
        </w:rPr>
        <w:t>appropriate</w:t>
      </w:r>
      <w:proofErr w:type="spellEnd"/>
      <w:r>
        <w:rPr>
          <w:color w:val="231F20"/>
          <w:sz w:val="18"/>
          <w:szCs w:val="18"/>
        </w:rPr>
        <w:t xml:space="preserve">, </w:t>
      </w:r>
      <w:proofErr w:type="spellStart"/>
      <w:r>
        <w:rPr>
          <w:color w:val="231F20"/>
          <w:sz w:val="18"/>
          <w:szCs w:val="18"/>
        </w:rPr>
        <w:t>for</w:t>
      </w:r>
      <w:proofErr w:type="spellEnd"/>
      <w:r>
        <w:rPr>
          <w:color w:val="231F20"/>
          <w:sz w:val="18"/>
          <w:szCs w:val="18"/>
        </w:rPr>
        <w:t xml:space="preserve"> </w:t>
      </w:r>
      <w:proofErr w:type="spellStart"/>
      <w:r>
        <w:rPr>
          <w:color w:val="231F20"/>
          <w:sz w:val="18"/>
          <w:szCs w:val="18"/>
        </w:rPr>
        <w:t>this</w:t>
      </w:r>
      <w:proofErr w:type="spellEnd"/>
      <w:r>
        <w:rPr>
          <w:color w:val="231F20"/>
          <w:sz w:val="18"/>
          <w:szCs w:val="18"/>
        </w:rPr>
        <w:t xml:space="preserve"> </w:t>
      </w:r>
      <w:proofErr w:type="spellStart"/>
      <w:r>
        <w:rPr>
          <w:color w:val="231F20"/>
          <w:sz w:val="18"/>
          <w:szCs w:val="18"/>
        </w:rPr>
        <w:t>there</w:t>
      </w:r>
      <w:proofErr w:type="spellEnd"/>
      <w:r>
        <w:rPr>
          <w:color w:val="231F20"/>
          <w:sz w:val="18"/>
          <w:szCs w:val="18"/>
        </w:rPr>
        <w:t xml:space="preserve"> are agencies </w:t>
      </w:r>
      <w:proofErr w:type="spellStart"/>
      <w:r>
        <w:rPr>
          <w:color w:val="231F20"/>
          <w:sz w:val="18"/>
          <w:szCs w:val="18"/>
        </w:rPr>
        <w:t>specialized</w:t>
      </w:r>
      <w:proofErr w:type="spellEnd"/>
      <w:r>
        <w:rPr>
          <w:color w:val="231F20"/>
          <w:sz w:val="18"/>
          <w:szCs w:val="18"/>
        </w:rPr>
        <w:t xml:space="preserve"> in </w:t>
      </w:r>
      <w:proofErr w:type="spellStart"/>
      <w:r>
        <w:rPr>
          <w:color w:val="231F20"/>
          <w:sz w:val="18"/>
          <w:szCs w:val="18"/>
        </w:rPr>
        <w:t>carrying</w:t>
      </w:r>
      <w:proofErr w:type="spellEnd"/>
      <w:r>
        <w:rPr>
          <w:color w:val="231F20"/>
          <w:sz w:val="18"/>
          <w:szCs w:val="18"/>
        </w:rPr>
        <w:t xml:space="preserve"> </w:t>
      </w:r>
      <w:proofErr w:type="spellStart"/>
      <w:r>
        <w:rPr>
          <w:color w:val="231F20"/>
          <w:sz w:val="18"/>
          <w:szCs w:val="18"/>
        </w:rPr>
        <w:t>out</w:t>
      </w:r>
      <w:proofErr w:type="spellEnd"/>
      <w:r>
        <w:rPr>
          <w:color w:val="231F20"/>
          <w:sz w:val="18"/>
          <w:szCs w:val="18"/>
        </w:rPr>
        <w:t xml:space="preserve"> </w:t>
      </w:r>
      <w:proofErr w:type="spellStart"/>
      <w:r>
        <w:rPr>
          <w:color w:val="231F20"/>
          <w:sz w:val="18"/>
          <w:szCs w:val="18"/>
        </w:rPr>
        <w:t>this</w:t>
      </w:r>
      <w:proofErr w:type="spellEnd"/>
      <w:r>
        <w:rPr>
          <w:color w:val="231F20"/>
          <w:sz w:val="18"/>
          <w:szCs w:val="18"/>
        </w:rPr>
        <w:t xml:space="preserve"> </w:t>
      </w:r>
      <w:proofErr w:type="spellStart"/>
      <w:r>
        <w:rPr>
          <w:color w:val="231F20"/>
          <w:sz w:val="18"/>
          <w:szCs w:val="18"/>
        </w:rPr>
        <w:t>type</w:t>
      </w:r>
      <w:proofErr w:type="spellEnd"/>
      <w:r>
        <w:rPr>
          <w:color w:val="231F20"/>
          <w:sz w:val="18"/>
          <w:szCs w:val="18"/>
        </w:rPr>
        <w:t xml:space="preserve"> of </w:t>
      </w:r>
      <w:proofErr w:type="spellStart"/>
      <w:r>
        <w:rPr>
          <w:color w:val="231F20"/>
          <w:sz w:val="18"/>
          <w:szCs w:val="18"/>
        </w:rPr>
        <w:t>projects</w:t>
      </w:r>
      <w:proofErr w:type="spellEnd"/>
      <w:r>
        <w:rPr>
          <w:color w:val="231F20"/>
          <w:sz w:val="18"/>
          <w:szCs w:val="18"/>
        </w:rPr>
        <w:t xml:space="preserve"> </w:t>
      </w:r>
      <w:proofErr w:type="spellStart"/>
      <w:r>
        <w:rPr>
          <w:color w:val="231F20"/>
          <w:sz w:val="18"/>
          <w:szCs w:val="18"/>
        </w:rPr>
        <w:t>which</w:t>
      </w:r>
      <w:proofErr w:type="spellEnd"/>
      <w:r>
        <w:rPr>
          <w:color w:val="231F20"/>
          <w:sz w:val="18"/>
          <w:szCs w:val="18"/>
        </w:rPr>
        <w:t xml:space="preserve"> </w:t>
      </w:r>
      <w:proofErr w:type="spellStart"/>
      <w:r>
        <w:rPr>
          <w:color w:val="231F20"/>
          <w:sz w:val="18"/>
          <w:szCs w:val="18"/>
        </w:rPr>
        <w:t>with</w:t>
      </w:r>
      <w:proofErr w:type="spellEnd"/>
      <w:r>
        <w:rPr>
          <w:color w:val="231F20"/>
          <w:sz w:val="18"/>
          <w:szCs w:val="18"/>
        </w:rPr>
        <w:t xml:space="preserve">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support</w:t>
      </w:r>
      <w:proofErr w:type="spellEnd"/>
      <w:r>
        <w:rPr>
          <w:color w:val="231F20"/>
          <w:sz w:val="18"/>
          <w:szCs w:val="18"/>
        </w:rPr>
        <w:t xml:space="preserve"> of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government</w:t>
      </w:r>
      <w:proofErr w:type="spellEnd"/>
      <w:r>
        <w:rPr>
          <w:color w:val="231F20"/>
          <w:sz w:val="18"/>
          <w:szCs w:val="18"/>
        </w:rPr>
        <w:t>, a</w:t>
      </w:r>
      <w:r>
        <w:rPr>
          <w:color w:val="231F20"/>
          <w:sz w:val="18"/>
          <w:szCs w:val="18"/>
        </w:rPr>
        <w:t xml:space="preserve">s </w:t>
      </w:r>
      <w:proofErr w:type="spellStart"/>
      <w:r>
        <w:rPr>
          <w:color w:val="231F20"/>
          <w:sz w:val="18"/>
          <w:szCs w:val="18"/>
        </w:rPr>
        <w:t>an</w:t>
      </w:r>
      <w:proofErr w:type="spellEnd"/>
      <w:r>
        <w:rPr>
          <w:color w:val="231F20"/>
          <w:sz w:val="18"/>
          <w:szCs w:val="18"/>
        </w:rPr>
        <w:t xml:space="preserve"> </w:t>
      </w:r>
      <w:proofErr w:type="spellStart"/>
      <w:r>
        <w:rPr>
          <w:color w:val="231F20"/>
          <w:sz w:val="18"/>
          <w:szCs w:val="18"/>
        </w:rPr>
        <w:t>example</w:t>
      </w:r>
      <w:proofErr w:type="spellEnd"/>
      <w:r>
        <w:rPr>
          <w:color w:val="231F20"/>
          <w:sz w:val="18"/>
          <w:szCs w:val="18"/>
        </w:rPr>
        <w:t>: ENCLOSE, NOVELOG and SULPITER.</w:t>
      </w:r>
    </w:p>
    <w:p w:rsidR="00BF7DF3" w:rsidRDefault="009709B5">
      <w:pPr>
        <w:spacing w:before="121"/>
        <w:ind w:left="110"/>
        <w:rPr>
          <w:color w:val="231F20"/>
          <w:sz w:val="18"/>
          <w:szCs w:val="18"/>
        </w:rPr>
      </w:pPr>
      <w:proofErr w:type="spellStart"/>
      <w:r>
        <w:rPr>
          <w:color w:val="231F20"/>
          <w:sz w:val="18"/>
          <w:szCs w:val="18"/>
        </w:rPr>
        <w:t>Now</w:t>
      </w:r>
      <w:proofErr w:type="spellEnd"/>
      <w:r>
        <w:rPr>
          <w:color w:val="231F20"/>
          <w:sz w:val="18"/>
          <w:szCs w:val="18"/>
        </w:rPr>
        <w:t xml:space="preserve">, Bucaramanga </w:t>
      </w:r>
      <w:proofErr w:type="spellStart"/>
      <w:r>
        <w:rPr>
          <w:color w:val="231F20"/>
          <w:sz w:val="18"/>
          <w:szCs w:val="18"/>
        </w:rPr>
        <w:t>is</w:t>
      </w:r>
      <w:proofErr w:type="spellEnd"/>
      <w:r>
        <w:rPr>
          <w:color w:val="231F20"/>
          <w:sz w:val="18"/>
          <w:szCs w:val="18"/>
        </w:rPr>
        <w:t xml:space="preserve"> a </w:t>
      </w:r>
      <w:proofErr w:type="spellStart"/>
      <w:r>
        <w:rPr>
          <w:color w:val="231F20"/>
          <w:sz w:val="18"/>
          <w:szCs w:val="18"/>
        </w:rPr>
        <w:t>city</w:t>
      </w:r>
      <w:proofErr w:type="spellEnd"/>
      <w:r>
        <w:rPr>
          <w:color w:val="231F20"/>
          <w:sz w:val="18"/>
          <w:szCs w:val="18"/>
        </w:rPr>
        <w:t xml:space="preserve"> </w:t>
      </w:r>
      <w:proofErr w:type="spellStart"/>
      <w:r>
        <w:rPr>
          <w:color w:val="231F20"/>
          <w:sz w:val="18"/>
          <w:szCs w:val="18"/>
        </w:rPr>
        <w:t>that</w:t>
      </w:r>
      <w:proofErr w:type="spellEnd"/>
      <w:r>
        <w:rPr>
          <w:color w:val="231F20"/>
          <w:sz w:val="18"/>
          <w:szCs w:val="18"/>
        </w:rPr>
        <w:t xml:space="preserve"> has </w:t>
      </w:r>
      <w:proofErr w:type="spellStart"/>
      <w:r>
        <w:rPr>
          <w:color w:val="231F20"/>
          <w:sz w:val="18"/>
          <w:szCs w:val="18"/>
        </w:rPr>
        <w:t>begun</w:t>
      </w:r>
      <w:proofErr w:type="spellEnd"/>
      <w:r>
        <w:rPr>
          <w:color w:val="231F20"/>
          <w:sz w:val="18"/>
          <w:szCs w:val="18"/>
        </w:rPr>
        <w:t xml:space="preserve"> to look </w:t>
      </w:r>
      <w:proofErr w:type="spellStart"/>
      <w:r>
        <w:rPr>
          <w:color w:val="231F20"/>
          <w:sz w:val="18"/>
          <w:szCs w:val="18"/>
        </w:rPr>
        <w:t>for</w:t>
      </w:r>
      <w:proofErr w:type="spellEnd"/>
      <w:r>
        <w:rPr>
          <w:color w:val="231F20"/>
          <w:sz w:val="18"/>
          <w:szCs w:val="18"/>
        </w:rPr>
        <w:t xml:space="preserve"> </w:t>
      </w:r>
      <w:proofErr w:type="spellStart"/>
      <w:r>
        <w:rPr>
          <w:color w:val="231F20"/>
          <w:sz w:val="18"/>
          <w:szCs w:val="18"/>
        </w:rPr>
        <w:t>solutions</w:t>
      </w:r>
      <w:proofErr w:type="spellEnd"/>
      <w:r>
        <w:rPr>
          <w:color w:val="231F20"/>
          <w:sz w:val="18"/>
          <w:szCs w:val="18"/>
        </w:rPr>
        <w:t xml:space="preserve"> and </w:t>
      </w:r>
      <w:proofErr w:type="spellStart"/>
      <w:r>
        <w:rPr>
          <w:color w:val="231F20"/>
          <w:sz w:val="18"/>
          <w:szCs w:val="18"/>
        </w:rPr>
        <w:t>points</w:t>
      </w:r>
      <w:proofErr w:type="spellEnd"/>
      <w:r>
        <w:rPr>
          <w:color w:val="231F20"/>
          <w:sz w:val="18"/>
          <w:szCs w:val="18"/>
        </w:rPr>
        <w:t xml:space="preserve"> of </w:t>
      </w:r>
      <w:proofErr w:type="spellStart"/>
      <w:r>
        <w:rPr>
          <w:color w:val="231F20"/>
          <w:sz w:val="18"/>
          <w:szCs w:val="18"/>
        </w:rPr>
        <w:t>improvement</w:t>
      </w:r>
      <w:proofErr w:type="spellEnd"/>
      <w:r>
        <w:rPr>
          <w:color w:val="231F20"/>
          <w:sz w:val="18"/>
          <w:szCs w:val="18"/>
        </w:rPr>
        <w:t xml:space="preserve"> in </w:t>
      </w:r>
      <w:proofErr w:type="spellStart"/>
      <w:r>
        <w:rPr>
          <w:color w:val="231F20"/>
          <w:sz w:val="18"/>
          <w:szCs w:val="18"/>
        </w:rPr>
        <w:t>this</w:t>
      </w:r>
      <w:proofErr w:type="spellEnd"/>
      <w:r>
        <w:rPr>
          <w:color w:val="231F20"/>
          <w:sz w:val="18"/>
          <w:szCs w:val="18"/>
        </w:rPr>
        <w:t xml:space="preserve"> </w:t>
      </w:r>
      <w:proofErr w:type="spellStart"/>
      <w:r>
        <w:rPr>
          <w:color w:val="231F20"/>
          <w:sz w:val="18"/>
          <w:szCs w:val="18"/>
        </w:rPr>
        <w:t>sense</w:t>
      </w:r>
      <w:proofErr w:type="spellEnd"/>
      <w:r>
        <w:rPr>
          <w:color w:val="231F20"/>
          <w:sz w:val="18"/>
          <w:szCs w:val="18"/>
        </w:rPr>
        <w:t xml:space="preserve"> and </w:t>
      </w:r>
      <w:proofErr w:type="spellStart"/>
      <w:r>
        <w:rPr>
          <w:color w:val="231F20"/>
          <w:sz w:val="18"/>
          <w:szCs w:val="18"/>
        </w:rPr>
        <w:t>being</w:t>
      </w:r>
      <w:proofErr w:type="spellEnd"/>
      <w:r>
        <w:rPr>
          <w:color w:val="231F20"/>
          <w:sz w:val="18"/>
          <w:szCs w:val="18"/>
        </w:rPr>
        <w:t xml:space="preserve"> </w:t>
      </w:r>
      <w:proofErr w:type="spellStart"/>
      <w:r>
        <w:rPr>
          <w:color w:val="231F20"/>
          <w:sz w:val="18"/>
          <w:szCs w:val="18"/>
        </w:rPr>
        <w:t>an</w:t>
      </w:r>
      <w:proofErr w:type="spellEnd"/>
      <w:r>
        <w:rPr>
          <w:color w:val="231F20"/>
          <w:sz w:val="18"/>
          <w:szCs w:val="18"/>
        </w:rPr>
        <w:t xml:space="preserve"> </w:t>
      </w:r>
      <w:proofErr w:type="spellStart"/>
      <w:r>
        <w:rPr>
          <w:color w:val="231F20"/>
          <w:sz w:val="18"/>
          <w:szCs w:val="18"/>
        </w:rPr>
        <w:t>important</w:t>
      </w:r>
      <w:proofErr w:type="spellEnd"/>
      <w:r>
        <w:rPr>
          <w:color w:val="231F20"/>
          <w:sz w:val="18"/>
          <w:szCs w:val="18"/>
        </w:rPr>
        <w:t xml:space="preserve"> </w:t>
      </w:r>
      <w:proofErr w:type="spellStart"/>
      <w:r>
        <w:rPr>
          <w:color w:val="231F20"/>
          <w:sz w:val="18"/>
          <w:szCs w:val="18"/>
        </w:rPr>
        <w:t>point</w:t>
      </w:r>
      <w:proofErr w:type="spellEnd"/>
      <w:r>
        <w:rPr>
          <w:color w:val="231F20"/>
          <w:sz w:val="18"/>
          <w:szCs w:val="18"/>
        </w:rPr>
        <w:t xml:space="preserve"> at </w:t>
      </w:r>
      <w:proofErr w:type="spellStart"/>
      <w:r>
        <w:rPr>
          <w:color w:val="231F20"/>
          <w:sz w:val="18"/>
          <w:szCs w:val="18"/>
        </w:rPr>
        <w:t>national</w:t>
      </w:r>
      <w:proofErr w:type="spellEnd"/>
      <w:r>
        <w:rPr>
          <w:color w:val="231F20"/>
          <w:sz w:val="18"/>
          <w:szCs w:val="18"/>
        </w:rPr>
        <w:t xml:space="preserve"> </w:t>
      </w:r>
      <w:proofErr w:type="spellStart"/>
      <w:r>
        <w:rPr>
          <w:color w:val="231F20"/>
          <w:sz w:val="18"/>
          <w:szCs w:val="18"/>
        </w:rPr>
        <w:t>level</w:t>
      </w:r>
      <w:proofErr w:type="spellEnd"/>
      <w:r>
        <w:rPr>
          <w:color w:val="231F20"/>
          <w:sz w:val="18"/>
          <w:szCs w:val="18"/>
        </w:rPr>
        <w:t xml:space="preserve"> </w:t>
      </w:r>
      <w:proofErr w:type="spellStart"/>
      <w:r>
        <w:rPr>
          <w:color w:val="231F20"/>
          <w:sz w:val="18"/>
          <w:szCs w:val="18"/>
        </w:rPr>
        <w:t>for</w:t>
      </w:r>
      <w:proofErr w:type="spellEnd"/>
      <w:r>
        <w:rPr>
          <w:color w:val="231F20"/>
          <w:sz w:val="18"/>
          <w:szCs w:val="18"/>
        </w:rPr>
        <w:t xml:space="preserve"> cargo </w:t>
      </w:r>
      <w:proofErr w:type="spellStart"/>
      <w:r>
        <w:rPr>
          <w:color w:val="231F20"/>
          <w:sz w:val="18"/>
          <w:szCs w:val="18"/>
        </w:rPr>
        <w:t>transportation</w:t>
      </w:r>
      <w:proofErr w:type="spellEnd"/>
      <w:r>
        <w:rPr>
          <w:color w:val="231F20"/>
          <w:sz w:val="18"/>
          <w:szCs w:val="18"/>
        </w:rPr>
        <w:t xml:space="preserve">,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development</w:t>
      </w:r>
      <w:proofErr w:type="spellEnd"/>
      <w:r>
        <w:rPr>
          <w:color w:val="231F20"/>
          <w:sz w:val="18"/>
          <w:szCs w:val="18"/>
        </w:rPr>
        <w:t xml:space="preserve"> of </w:t>
      </w:r>
      <w:proofErr w:type="spellStart"/>
      <w:r>
        <w:rPr>
          <w:color w:val="231F20"/>
          <w:sz w:val="18"/>
          <w:szCs w:val="18"/>
        </w:rPr>
        <w:t>an</w:t>
      </w:r>
      <w:proofErr w:type="spellEnd"/>
      <w:r>
        <w:rPr>
          <w:color w:val="231F20"/>
          <w:sz w:val="18"/>
          <w:szCs w:val="18"/>
        </w:rPr>
        <w:t xml:space="preserve"> </w:t>
      </w:r>
      <w:proofErr w:type="spellStart"/>
      <w:r>
        <w:rPr>
          <w:color w:val="231F20"/>
          <w:sz w:val="18"/>
          <w:szCs w:val="18"/>
        </w:rPr>
        <w:t>Urban</w:t>
      </w:r>
      <w:proofErr w:type="spellEnd"/>
      <w:r>
        <w:rPr>
          <w:color w:val="231F20"/>
          <w:sz w:val="18"/>
          <w:szCs w:val="18"/>
        </w:rPr>
        <w:t xml:space="preserve"> Plan </w:t>
      </w:r>
      <w:proofErr w:type="spellStart"/>
      <w:r>
        <w:rPr>
          <w:color w:val="231F20"/>
          <w:sz w:val="18"/>
          <w:szCs w:val="18"/>
        </w:rPr>
        <w:t>f</w:t>
      </w:r>
      <w:r>
        <w:rPr>
          <w:color w:val="231F20"/>
          <w:sz w:val="18"/>
          <w:szCs w:val="18"/>
        </w:rPr>
        <w:t>or</w:t>
      </w:r>
      <w:proofErr w:type="spellEnd"/>
      <w:r>
        <w:rPr>
          <w:color w:val="231F20"/>
          <w:sz w:val="18"/>
          <w:szCs w:val="18"/>
        </w:rPr>
        <w:t xml:space="preserve"> </w:t>
      </w:r>
      <w:proofErr w:type="spellStart"/>
      <w:r>
        <w:rPr>
          <w:color w:val="231F20"/>
          <w:sz w:val="18"/>
          <w:szCs w:val="18"/>
        </w:rPr>
        <w:t>Sustainable</w:t>
      </w:r>
      <w:proofErr w:type="spellEnd"/>
      <w:r>
        <w:rPr>
          <w:color w:val="231F20"/>
          <w:sz w:val="18"/>
          <w:szCs w:val="18"/>
        </w:rPr>
        <w:t xml:space="preserve"> </w:t>
      </w:r>
      <w:proofErr w:type="spellStart"/>
      <w:r>
        <w:rPr>
          <w:color w:val="231F20"/>
          <w:sz w:val="18"/>
          <w:szCs w:val="18"/>
        </w:rPr>
        <w:t>Logistics</w:t>
      </w:r>
      <w:proofErr w:type="spellEnd"/>
      <w:r>
        <w:rPr>
          <w:color w:val="231F20"/>
          <w:sz w:val="18"/>
          <w:szCs w:val="18"/>
        </w:rPr>
        <w:t xml:space="preserve"> </w:t>
      </w:r>
      <w:proofErr w:type="spellStart"/>
      <w:r>
        <w:rPr>
          <w:color w:val="231F20"/>
          <w:sz w:val="18"/>
          <w:szCs w:val="18"/>
        </w:rPr>
        <w:t>is</w:t>
      </w:r>
      <w:proofErr w:type="spellEnd"/>
      <w:r>
        <w:rPr>
          <w:color w:val="231F20"/>
          <w:sz w:val="18"/>
          <w:szCs w:val="18"/>
        </w:rPr>
        <w:t xml:space="preserve"> </w:t>
      </w:r>
      <w:proofErr w:type="spellStart"/>
      <w:r>
        <w:rPr>
          <w:color w:val="231F20"/>
          <w:sz w:val="18"/>
          <w:szCs w:val="18"/>
        </w:rPr>
        <w:t>proposed</w:t>
      </w:r>
      <w:proofErr w:type="spellEnd"/>
      <w:r>
        <w:rPr>
          <w:color w:val="231F20"/>
          <w:sz w:val="18"/>
          <w:szCs w:val="18"/>
        </w:rPr>
        <w:t xml:space="preserve"> as beneficial, </w:t>
      </w:r>
      <w:proofErr w:type="spellStart"/>
      <w:r>
        <w:rPr>
          <w:color w:val="231F20"/>
          <w:sz w:val="18"/>
          <w:szCs w:val="18"/>
        </w:rPr>
        <w:t>for</w:t>
      </w:r>
      <w:proofErr w:type="spellEnd"/>
      <w:r>
        <w:rPr>
          <w:color w:val="231F20"/>
          <w:sz w:val="18"/>
          <w:szCs w:val="18"/>
        </w:rPr>
        <w:t xml:space="preserve"> </w:t>
      </w:r>
      <w:proofErr w:type="spellStart"/>
      <w:r>
        <w:rPr>
          <w:color w:val="231F20"/>
          <w:sz w:val="18"/>
          <w:szCs w:val="18"/>
        </w:rPr>
        <w:t>which</w:t>
      </w:r>
      <w:proofErr w:type="spellEnd"/>
      <w:r>
        <w:rPr>
          <w:color w:val="231F20"/>
          <w:sz w:val="18"/>
          <w:szCs w:val="18"/>
        </w:rPr>
        <w:t xml:space="preserve"> a </w:t>
      </w:r>
      <w:proofErr w:type="spellStart"/>
      <w:r>
        <w:rPr>
          <w:color w:val="231F20"/>
          <w:sz w:val="18"/>
          <w:szCs w:val="18"/>
        </w:rPr>
        <w:t>methodology</w:t>
      </w:r>
      <w:proofErr w:type="spellEnd"/>
      <w:r>
        <w:rPr>
          <w:color w:val="231F20"/>
          <w:sz w:val="18"/>
          <w:szCs w:val="18"/>
        </w:rPr>
        <w:t xml:space="preserve"> </w:t>
      </w:r>
      <w:proofErr w:type="spellStart"/>
      <w:r>
        <w:rPr>
          <w:color w:val="231F20"/>
          <w:sz w:val="18"/>
          <w:szCs w:val="18"/>
        </w:rPr>
        <w:t>is</w:t>
      </w:r>
      <w:proofErr w:type="spellEnd"/>
      <w:r>
        <w:rPr>
          <w:color w:val="231F20"/>
          <w:sz w:val="18"/>
          <w:szCs w:val="18"/>
        </w:rPr>
        <w:t xml:space="preserve"> </w:t>
      </w:r>
      <w:proofErr w:type="spellStart"/>
      <w:r>
        <w:rPr>
          <w:color w:val="231F20"/>
          <w:sz w:val="18"/>
          <w:szCs w:val="18"/>
        </w:rPr>
        <w:t>proposed</w:t>
      </w:r>
      <w:proofErr w:type="spellEnd"/>
      <w:r>
        <w:rPr>
          <w:color w:val="231F20"/>
          <w:sz w:val="18"/>
          <w:szCs w:val="18"/>
        </w:rPr>
        <w:t xml:space="preserve"> </w:t>
      </w:r>
      <w:proofErr w:type="spellStart"/>
      <w:r>
        <w:rPr>
          <w:color w:val="231F20"/>
          <w:sz w:val="18"/>
          <w:szCs w:val="18"/>
        </w:rPr>
        <w:t>after</w:t>
      </w:r>
      <w:proofErr w:type="spellEnd"/>
      <w:r>
        <w:rPr>
          <w:color w:val="231F20"/>
          <w:sz w:val="18"/>
          <w:szCs w:val="18"/>
        </w:rPr>
        <w:t xml:space="preserve"> </w:t>
      </w:r>
      <w:proofErr w:type="spellStart"/>
      <w:r>
        <w:rPr>
          <w:color w:val="231F20"/>
          <w:sz w:val="18"/>
          <w:szCs w:val="18"/>
        </w:rPr>
        <w:t>conducting</w:t>
      </w:r>
      <w:proofErr w:type="spellEnd"/>
      <w:r>
        <w:rPr>
          <w:color w:val="231F20"/>
          <w:sz w:val="18"/>
          <w:szCs w:val="18"/>
        </w:rPr>
        <w:t xml:space="preserve"> a </w:t>
      </w:r>
      <w:proofErr w:type="spellStart"/>
      <w:r>
        <w:rPr>
          <w:color w:val="231F20"/>
          <w:sz w:val="18"/>
          <w:szCs w:val="18"/>
        </w:rPr>
        <w:t>literature</w:t>
      </w:r>
      <w:proofErr w:type="spellEnd"/>
      <w:r>
        <w:rPr>
          <w:color w:val="231F20"/>
          <w:sz w:val="18"/>
          <w:szCs w:val="18"/>
        </w:rPr>
        <w:t xml:space="preserve"> </w:t>
      </w:r>
      <w:proofErr w:type="spellStart"/>
      <w:r>
        <w:rPr>
          <w:color w:val="231F20"/>
          <w:sz w:val="18"/>
          <w:szCs w:val="18"/>
        </w:rPr>
        <w:t>analysis</w:t>
      </w:r>
      <w:proofErr w:type="spellEnd"/>
      <w:r>
        <w:rPr>
          <w:color w:val="231F20"/>
          <w:sz w:val="18"/>
          <w:szCs w:val="18"/>
        </w:rPr>
        <w:t xml:space="preserve"> of </w:t>
      </w:r>
      <w:proofErr w:type="spellStart"/>
      <w:r>
        <w:rPr>
          <w:color w:val="231F20"/>
          <w:sz w:val="18"/>
          <w:szCs w:val="18"/>
        </w:rPr>
        <w:t>the</w:t>
      </w:r>
      <w:proofErr w:type="spellEnd"/>
      <w:r>
        <w:rPr>
          <w:color w:val="231F20"/>
          <w:sz w:val="18"/>
          <w:szCs w:val="18"/>
        </w:rPr>
        <w:t xml:space="preserve"> </w:t>
      </w:r>
      <w:proofErr w:type="spellStart"/>
      <w:r>
        <w:rPr>
          <w:color w:val="231F20"/>
          <w:sz w:val="18"/>
          <w:szCs w:val="18"/>
        </w:rPr>
        <w:t>projects</w:t>
      </w:r>
      <w:proofErr w:type="spellEnd"/>
      <w:r>
        <w:rPr>
          <w:color w:val="231F20"/>
          <w:sz w:val="18"/>
          <w:szCs w:val="18"/>
        </w:rPr>
        <w:t xml:space="preserve"> </w:t>
      </w:r>
      <w:proofErr w:type="spellStart"/>
      <w:r>
        <w:rPr>
          <w:color w:val="231F20"/>
          <w:sz w:val="18"/>
          <w:szCs w:val="18"/>
        </w:rPr>
        <w:t>that</w:t>
      </w:r>
      <w:proofErr w:type="spellEnd"/>
      <w:r>
        <w:rPr>
          <w:color w:val="231F20"/>
          <w:sz w:val="18"/>
          <w:szCs w:val="18"/>
        </w:rPr>
        <w:t xml:space="preserve"> </w:t>
      </w:r>
      <w:proofErr w:type="spellStart"/>
      <w:r>
        <w:rPr>
          <w:color w:val="231F20"/>
          <w:sz w:val="18"/>
          <w:szCs w:val="18"/>
        </w:rPr>
        <w:t>have</w:t>
      </w:r>
      <w:proofErr w:type="spellEnd"/>
      <w:r>
        <w:rPr>
          <w:color w:val="231F20"/>
          <w:sz w:val="18"/>
          <w:szCs w:val="18"/>
        </w:rPr>
        <w:t xml:space="preserve"> </w:t>
      </w:r>
      <w:proofErr w:type="spellStart"/>
      <w:r>
        <w:rPr>
          <w:color w:val="231F20"/>
          <w:sz w:val="18"/>
          <w:szCs w:val="18"/>
        </w:rPr>
        <w:t>already</w:t>
      </w:r>
      <w:proofErr w:type="spellEnd"/>
      <w:r>
        <w:rPr>
          <w:color w:val="231F20"/>
          <w:sz w:val="18"/>
          <w:szCs w:val="18"/>
        </w:rPr>
        <w:t xml:space="preserve"> </w:t>
      </w:r>
      <w:proofErr w:type="spellStart"/>
      <w:r>
        <w:rPr>
          <w:color w:val="231F20"/>
          <w:sz w:val="18"/>
          <w:szCs w:val="18"/>
        </w:rPr>
        <w:t>been</w:t>
      </w:r>
      <w:proofErr w:type="spellEnd"/>
      <w:r>
        <w:rPr>
          <w:color w:val="231F20"/>
          <w:sz w:val="18"/>
          <w:szCs w:val="18"/>
        </w:rPr>
        <w:t xml:space="preserve"> </w:t>
      </w:r>
      <w:proofErr w:type="spellStart"/>
      <w:r>
        <w:rPr>
          <w:color w:val="231F20"/>
          <w:sz w:val="18"/>
          <w:szCs w:val="18"/>
        </w:rPr>
        <w:t>carried</w:t>
      </w:r>
      <w:proofErr w:type="spellEnd"/>
      <w:r>
        <w:rPr>
          <w:color w:val="231F20"/>
          <w:sz w:val="18"/>
          <w:szCs w:val="18"/>
        </w:rPr>
        <w:t xml:space="preserve"> </w:t>
      </w:r>
      <w:proofErr w:type="spellStart"/>
      <w:r>
        <w:rPr>
          <w:color w:val="231F20"/>
          <w:sz w:val="18"/>
          <w:szCs w:val="18"/>
        </w:rPr>
        <w:t>out</w:t>
      </w:r>
      <w:proofErr w:type="spellEnd"/>
      <w:r>
        <w:rPr>
          <w:color w:val="231F20"/>
          <w:sz w:val="18"/>
          <w:szCs w:val="18"/>
        </w:rPr>
        <w:t xml:space="preserve"> at </w:t>
      </w:r>
      <w:proofErr w:type="spellStart"/>
      <w:r>
        <w:rPr>
          <w:color w:val="231F20"/>
          <w:sz w:val="18"/>
          <w:szCs w:val="18"/>
        </w:rPr>
        <w:t>national</w:t>
      </w:r>
      <w:proofErr w:type="spellEnd"/>
      <w:r>
        <w:rPr>
          <w:color w:val="231F20"/>
          <w:sz w:val="18"/>
          <w:szCs w:val="18"/>
        </w:rPr>
        <w:t xml:space="preserve"> and global </w:t>
      </w:r>
      <w:proofErr w:type="spellStart"/>
      <w:r>
        <w:rPr>
          <w:color w:val="231F20"/>
          <w:sz w:val="18"/>
          <w:szCs w:val="18"/>
        </w:rPr>
        <w:t>level</w:t>
      </w:r>
      <w:proofErr w:type="spellEnd"/>
    </w:p>
    <w:p w:rsidR="00BF7DF3" w:rsidRDefault="009709B5">
      <w:pPr>
        <w:spacing w:before="121"/>
        <w:ind w:left="110"/>
        <w:rPr>
          <w:sz w:val="15"/>
          <w:szCs w:val="15"/>
        </w:rPr>
      </w:pPr>
      <w:r>
        <w:rPr>
          <w:color w:val="231F20"/>
          <w:sz w:val="18"/>
          <w:szCs w:val="18"/>
        </w:rPr>
        <w:t>.</w:t>
      </w:r>
      <w:proofErr w:type="spellStart"/>
      <w:r>
        <w:rPr>
          <w:rFonts w:ascii="Arial" w:eastAsia="Arial" w:hAnsi="Arial" w:cs="Arial"/>
          <w:b/>
          <w:color w:val="231F20"/>
          <w:sz w:val="15"/>
          <w:szCs w:val="15"/>
        </w:rPr>
        <w:t>Keywords</w:t>
      </w:r>
      <w:proofErr w:type="spellEnd"/>
      <w:r>
        <w:rPr>
          <w:rFonts w:ascii="Arial" w:eastAsia="Arial" w:hAnsi="Arial" w:cs="Arial"/>
          <w:b/>
          <w:color w:val="231F20"/>
          <w:sz w:val="15"/>
          <w:szCs w:val="15"/>
        </w:rPr>
        <w:t xml:space="preserve">: </w:t>
      </w:r>
      <w:proofErr w:type="spellStart"/>
      <w:r>
        <w:rPr>
          <w:color w:val="231F20"/>
          <w:sz w:val="15"/>
          <w:szCs w:val="15"/>
        </w:rPr>
        <w:t>omnichannel</w:t>
      </w:r>
      <w:proofErr w:type="spellEnd"/>
      <w:r>
        <w:rPr>
          <w:color w:val="231F20"/>
          <w:sz w:val="15"/>
          <w:szCs w:val="15"/>
        </w:rPr>
        <w:t xml:space="preserve">; digital </w:t>
      </w:r>
      <w:proofErr w:type="spellStart"/>
      <w:r>
        <w:rPr>
          <w:color w:val="231F20"/>
          <w:sz w:val="15"/>
          <w:szCs w:val="15"/>
        </w:rPr>
        <w:t>transformation</w:t>
      </w:r>
      <w:proofErr w:type="spellEnd"/>
      <w:r>
        <w:rPr>
          <w:color w:val="231F20"/>
          <w:sz w:val="15"/>
          <w:szCs w:val="15"/>
        </w:rPr>
        <w:t xml:space="preserve">; </w:t>
      </w:r>
      <w:proofErr w:type="spellStart"/>
      <w:r>
        <w:rPr>
          <w:color w:val="231F20"/>
          <w:sz w:val="15"/>
          <w:szCs w:val="15"/>
        </w:rPr>
        <w:t>s</w:t>
      </w:r>
      <w:r>
        <w:rPr>
          <w:color w:val="231F20"/>
          <w:sz w:val="15"/>
          <w:szCs w:val="15"/>
        </w:rPr>
        <w:t>upply</w:t>
      </w:r>
      <w:proofErr w:type="spellEnd"/>
      <w:r>
        <w:rPr>
          <w:color w:val="231F20"/>
          <w:sz w:val="15"/>
          <w:szCs w:val="15"/>
        </w:rPr>
        <w:t xml:space="preserve"> </w:t>
      </w:r>
      <w:proofErr w:type="spellStart"/>
      <w:r>
        <w:rPr>
          <w:color w:val="231F20"/>
          <w:sz w:val="15"/>
          <w:szCs w:val="15"/>
        </w:rPr>
        <w:t>chains</w:t>
      </w:r>
      <w:proofErr w:type="spellEnd"/>
      <w:r>
        <w:rPr>
          <w:color w:val="231F20"/>
          <w:sz w:val="15"/>
          <w:szCs w:val="15"/>
        </w:rPr>
        <w:t>; digital marketing.</w:t>
      </w:r>
      <w:r>
        <w:rPr>
          <w:noProof/>
        </w:rPr>
        <mc:AlternateContent>
          <mc:Choice Requires="wps">
            <w:drawing>
              <wp:anchor distT="0" distB="0" distL="114300" distR="114300" simplePos="0" relativeHeight="251659264" behindDoc="0" locked="0" layoutInCell="1" hidden="0" allowOverlap="1">
                <wp:simplePos x="0" y="0"/>
                <wp:positionH relativeFrom="column">
                  <wp:posOffset>177800</wp:posOffset>
                </wp:positionH>
                <wp:positionV relativeFrom="paragraph">
                  <wp:posOffset>215900</wp:posOffset>
                </wp:positionV>
                <wp:extent cx="1270" cy="12700"/>
                <wp:effectExtent l="0" t="0" r="0" b="0"/>
                <wp:wrapTopAndBottom distT="0" distB="0"/>
                <wp:docPr id="11" name="Forma libre 11"/>
                <wp:cNvGraphicFramePr/>
                <a:graphic xmlns:a="http://schemas.openxmlformats.org/drawingml/2006/main">
                  <a:graphicData uri="http://schemas.microsoft.com/office/word/2010/wordprocessingShape">
                    <wps:wsp>
                      <wps:cNvSpPr/>
                      <wps:spPr>
                        <a:xfrm>
                          <a:off x="2469450" y="3779365"/>
                          <a:ext cx="6692900" cy="1270"/>
                        </a:xfrm>
                        <a:custGeom>
                          <a:avLst/>
                          <a:gdLst/>
                          <a:ahLst/>
                          <a:cxnLst/>
                          <a:rect l="l" t="t" r="r" b="b"/>
                          <a:pathLst>
                            <a:path w="6692900" h="1270" extrusionOk="0">
                              <a:moveTo>
                                <a:pt x="0" y="0"/>
                              </a:moveTo>
                              <a:lnTo>
                                <a:pt x="6692900" y="0"/>
                              </a:lnTo>
                            </a:path>
                          </a:pathLst>
                        </a:custGeom>
                        <a:noFill/>
                        <a:ln w="9525" cap="flat" cmpd="sng">
                          <a:solidFill>
                            <a:srgbClr val="231F2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177800</wp:posOffset>
                </wp:positionH>
                <wp:positionV relativeFrom="paragraph">
                  <wp:posOffset>215900</wp:posOffset>
                </wp:positionV>
                <wp:extent cx="1270" cy="12700"/>
                <wp:effectExtent b="0" l="0" r="0" t="0"/>
                <wp:wrapTopAndBottom distB="0" distT="0"/>
                <wp:docPr id="11" name="image11.png"/>
                <a:graphic>
                  <a:graphicData uri="http://schemas.openxmlformats.org/drawingml/2006/picture">
                    <pic:pic>
                      <pic:nvPicPr>
                        <pic:cNvPr id="0" name="image11.png"/>
                        <pic:cNvPicPr preferRelativeResize="0"/>
                      </pic:nvPicPr>
                      <pic:blipFill>
                        <a:blip r:embed="rId15"/>
                        <a:srcRect/>
                        <a:stretch>
                          <a:fillRect/>
                        </a:stretch>
                      </pic:blipFill>
                      <pic:spPr>
                        <a:xfrm>
                          <a:off x="0" y="0"/>
                          <a:ext cx="1270" cy="12700"/>
                        </a:xfrm>
                        <a:prstGeom prst="rect"/>
                        <a:ln/>
                      </pic:spPr>
                    </pic:pic>
                  </a:graphicData>
                </a:graphic>
              </wp:anchor>
            </w:drawing>
          </mc:Fallback>
        </mc:AlternateContent>
      </w:r>
    </w:p>
    <w:p w:rsidR="00BF7DF3" w:rsidRDefault="009709B5">
      <w:pPr>
        <w:spacing w:before="6" w:line="372" w:lineRule="auto"/>
        <w:ind w:left="110" w:right="7362"/>
        <w:rPr>
          <w:sz w:val="15"/>
          <w:szCs w:val="15"/>
        </w:rPr>
      </w:pPr>
      <w:r>
        <w:rPr>
          <w:color w:val="231F20"/>
          <w:sz w:val="15"/>
          <w:szCs w:val="15"/>
        </w:rPr>
        <w:t xml:space="preserve">* Autor para dirigir correspondencia. Clasificación </w:t>
      </w:r>
      <w:r>
        <w:rPr>
          <w:color w:val="231F20"/>
          <w:sz w:val="15"/>
          <w:szCs w:val="15"/>
        </w:rPr>
        <w:lastRenderedPageBreak/>
        <w:t>JEL: M31; Q55.</w:t>
      </w:r>
    </w:p>
    <w:p w:rsidR="00BF7DF3" w:rsidRDefault="009709B5">
      <w:pPr>
        <w:rPr>
          <w:sz w:val="15"/>
          <w:szCs w:val="15"/>
        </w:rPr>
      </w:pPr>
      <w:r>
        <w:rPr>
          <w:color w:val="231F20"/>
          <w:sz w:val="15"/>
          <w:szCs w:val="15"/>
        </w:rPr>
        <w:t>Cómo citar: Cáceres Tovar, L. C. y Mantilla Rueda, S. J. (2022).</w:t>
      </w:r>
      <w:r>
        <w:t xml:space="preserve"> </w:t>
      </w:r>
      <w:r>
        <w:rPr>
          <w:color w:val="231F20"/>
          <w:sz w:val="15"/>
          <w:szCs w:val="15"/>
        </w:rPr>
        <w:t>Revisión de la literatura sobre metodologías utilizadas en estudios de movimiento de carga</w:t>
      </w:r>
      <w:r>
        <w:rPr>
          <w:color w:val="231F20"/>
          <w:sz w:val="15"/>
          <w:szCs w:val="15"/>
        </w:rPr>
        <w:t xml:space="preserve"> en territorios urbanos. </w:t>
      </w:r>
      <w:r>
        <w:rPr>
          <w:rFonts w:ascii="Trebuchet MS" w:eastAsia="Trebuchet MS" w:hAnsi="Trebuchet MS" w:cs="Trebuchet MS"/>
          <w:i/>
          <w:color w:val="231F20"/>
          <w:sz w:val="15"/>
          <w:szCs w:val="15"/>
        </w:rPr>
        <w:t>Estudios Gerenciales, 38</w:t>
      </w:r>
      <w:r>
        <w:rPr>
          <w:color w:val="231F20"/>
          <w:sz w:val="15"/>
          <w:szCs w:val="15"/>
        </w:rPr>
        <w:t xml:space="preserve">(164), 370-384. </w:t>
      </w:r>
    </w:p>
    <w:p w:rsidR="00BF7DF3" w:rsidRDefault="009709B5">
      <w:pPr>
        <w:spacing w:before="15"/>
        <w:ind w:left="110" w:right="6641"/>
        <w:rPr>
          <w:sz w:val="15"/>
          <w:szCs w:val="15"/>
        </w:rPr>
      </w:pPr>
      <w:r>
        <w:rPr>
          <w:color w:val="231F20"/>
          <w:sz w:val="15"/>
          <w:szCs w:val="15"/>
        </w:rPr>
        <w:t>Recibido: 13-09-2022</w:t>
      </w:r>
    </w:p>
    <w:p w:rsidR="00BF7DF3" w:rsidRDefault="009709B5">
      <w:pPr>
        <w:spacing w:line="149" w:lineRule="auto"/>
        <w:ind w:left="110"/>
        <w:rPr>
          <w:sz w:val="15"/>
          <w:szCs w:val="15"/>
        </w:rPr>
      </w:pPr>
      <w:r>
        <w:rPr>
          <w:color w:val="231F20"/>
          <w:sz w:val="15"/>
          <w:szCs w:val="15"/>
        </w:rPr>
        <w:t xml:space="preserve">Aceptado: </w:t>
      </w:r>
    </w:p>
    <w:p w:rsidR="00BF7DF3" w:rsidRDefault="009709B5">
      <w:pPr>
        <w:spacing w:line="171" w:lineRule="auto"/>
        <w:ind w:left="110"/>
        <w:rPr>
          <w:sz w:val="13"/>
          <w:szCs w:val="13"/>
        </w:rPr>
        <w:sectPr w:rsidR="00BF7DF3">
          <w:type w:val="continuous"/>
          <w:pgSz w:w="12240" w:h="15840"/>
          <w:pgMar w:top="380" w:right="740" w:bottom="280" w:left="740" w:header="720" w:footer="720" w:gutter="0"/>
          <w:cols w:space="720"/>
        </w:sectPr>
      </w:pPr>
      <w:r>
        <w:rPr>
          <w:color w:val="231F20"/>
          <w:sz w:val="15"/>
          <w:szCs w:val="15"/>
        </w:rPr>
        <w:t xml:space="preserve">Publicado: </w:t>
      </w:r>
    </w:p>
    <w:p w:rsidR="00BF7DF3" w:rsidRDefault="00BF7DF3">
      <w:pPr>
        <w:pBdr>
          <w:top w:val="nil"/>
          <w:left w:val="nil"/>
          <w:bottom w:val="nil"/>
          <w:right w:val="nil"/>
          <w:between w:val="nil"/>
        </w:pBdr>
        <w:spacing w:before="7"/>
        <w:rPr>
          <w:color w:val="000000"/>
          <w:sz w:val="14"/>
          <w:szCs w:val="14"/>
        </w:rPr>
        <w:sectPr w:rsidR="00BF7DF3">
          <w:headerReference w:type="even" r:id="rId16"/>
          <w:headerReference w:type="default" r:id="rId17"/>
          <w:pgSz w:w="12240" w:h="15840"/>
          <w:pgMar w:top="800" w:right="740" w:bottom="280" w:left="740" w:header="469" w:footer="0" w:gutter="0"/>
          <w:pgNumType w:start="371"/>
          <w:cols w:space="720"/>
        </w:sectPr>
      </w:pPr>
    </w:p>
    <w:p w:rsidR="00BF7DF3" w:rsidRDefault="009709B5">
      <w:pPr>
        <w:pStyle w:val="Ttulo1"/>
        <w:numPr>
          <w:ilvl w:val="0"/>
          <w:numId w:val="1"/>
        </w:numPr>
        <w:tabs>
          <w:tab w:val="left" w:pos="451"/>
        </w:tabs>
      </w:pPr>
      <w:bookmarkStart w:id="1" w:name="bookmark=id.gjdgxs" w:colFirst="0" w:colLast="0"/>
      <w:bookmarkEnd w:id="1"/>
      <w:r>
        <w:rPr>
          <w:color w:val="231F20"/>
        </w:rPr>
        <w:lastRenderedPageBreak/>
        <w:t>Introducción</w:t>
      </w:r>
    </w:p>
    <w:p w:rsidR="00BF7DF3" w:rsidRDefault="00BF7DF3">
      <w:pPr>
        <w:spacing w:line="237" w:lineRule="auto"/>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Con el paso del tiempo y el desarrollo de las ciudades, estas se han visto obligadas a enfrentar diferentes retos en temas de movilidad urbana con el fin de buscar soluciones cada vez más eficientes a los problemas que s</w:t>
      </w:r>
      <w:r>
        <w:rPr>
          <w:color w:val="231F20"/>
          <w:sz w:val="20"/>
          <w:szCs w:val="20"/>
        </w:rPr>
        <w:t>urgen. Dificultades como congestión vial, la contaminación del aire y la contaminación auditiva, hacen que se vuelva una necesidad la investigación del transporte de carga para lograr un transporte urbano sostenible. Teniendo en cuenta lo anterior, la logí</w:t>
      </w:r>
      <w:r>
        <w:rPr>
          <w:color w:val="231F20"/>
          <w:sz w:val="20"/>
          <w:szCs w:val="20"/>
        </w:rPr>
        <w:t>stica realiza una contribución importante a la hora de desarrollar estrategias que tengan como objetivo el desarrollo urbano sostenible y el crecimiento económico.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El </w:t>
      </w:r>
      <w:r>
        <w:rPr>
          <w:color w:val="440AE6"/>
          <w:sz w:val="20"/>
          <w:szCs w:val="20"/>
        </w:rPr>
        <w:t xml:space="preserve">Área Metropolitana del Valle de </w:t>
      </w:r>
      <w:proofErr w:type="spellStart"/>
      <w:r>
        <w:rPr>
          <w:color w:val="440AE6"/>
          <w:sz w:val="20"/>
          <w:szCs w:val="20"/>
        </w:rPr>
        <w:t>Aburrá</w:t>
      </w:r>
      <w:proofErr w:type="spellEnd"/>
      <w:r>
        <w:rPr>
          <w:color w:val="440AE6"/>
          <w:sz w:val="20"/>
          <w:szCs w:val="20"/>
        </w:rPr>
        <w:t xml:space="preserve">, (2017) </w:t>
      </w:r>
      <w:r>
        <w:rPr>
          <w:color w:val="231F20"/>
          <w:sz w:val="20"/>
          <w:szCs w:val="20"/>
        </w:rPr>
        <w:t>afirma: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Una parte importante de la logísti</w:t>
      </w:r>
      <w:r>
        <w:rPr>
          <w:color w:val="231F20"/>
          <w:sz w:val="20"/>
          <w:szCs w:val="20"/>
        </w:rPr>
        <w:t>ca es el transporte de carga, ya que entre el 5 y 10% del Producto Interno Bruto (PIB) está relacionado con carga/logística; entre 10-20% del empleo total está en carga/logística; y cerca del 50% del empleo depende de cadenas logísticas. Es decir, la distr</w:t>
      </w:r>
      <w:r>
        <w:rPr>
          <w:color w:val="231F20"/>
          <w:sz w:val="20"/>
          <w:szCs w:val="20"/>
        </w:rPr>
        <w:t xml:space="preserve">ibución de bienes se basa en industrias y actividades económicas (p. ej., restaurantes, oficinas, construcción) en donde tanto productores como consumidores dependen de ellas (p.9).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Realizar correctamente el transporte de carga, tiene como resultado la sa</w:t>
      </w:r>
      <w:r>
        <w:rPr>
          <w:color w:val="231F20"/>
          <w:sz w:val="20"/>
          <w:szCs w:val="20"/>
        </w:rPr>
        <w:t>tisfacción del cliente y el beneficio del proveedor por lo que se puede considerar una relación gana-gana. Pero esto tiene diferentes implicaciones que generan complejidad en las etapas que determinan el proceso de transporte de carga, así surge la necesid</w:t>
      </w:r>
      <w:r>
        <w:rPr>
          <w:color w:val="231F20"/>
          <w:sz w:val="20"/>
          <w:szCs w:val="20"/>
        </w:rPr>
        <w:t xml:space="preserve">ad de conocer bien el sector para poder plantear soluciones eficientes.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“Y es que la logística y el transporte se han convertido en ejes fundamentales de la economía del país, tanto es que el 80% de la carga del país se moviliza por carretera” </w:t>
      </w:r>
      <w:r>
        <w:rPr>
          <w:color w:val="440AE6"/>
          <w:sz w:val="20"/>
          <w:szCs w:val="20"/>
        </w:rPr>
        <w:t>(</w:t>
      </w:r>
      <w:proofErr w:type="spellStart"/>
      <w:r>
        <w:rPr>
          <w:color w:val="440AE6"/>
          <w:sz w:val="20"/>
          <w:szCs w:val="20"/>
        </w:rPr>
        <w:t>Rodriguez</w:t>
      </w:r>
      <w:proofErr w:type="spellEnd"/>
      <w:r>
        <w:rPr>
          <w:color w:val="440AE6"/>
          <w:sz w:val="20"/>
          <w:szCs w:val="20"/>
        </w:rPr>
        <w:t>,</w:t>
      </w:r>
      <w:r>
        <w:rPr>
          <w:color w:val="440AE6"/>
          <w:sz w:val="20"/>
          <w:szCs w:val="20"/>
        </w:rPr>
        <w:t xml:space="preserve"> 2013)</w:t>
      </w:r>
      <w:r>
        <w:rPr>
          <w:color w:val="231F20"/>
          <w:sz w:val="20"/>
          <w:szCs w:val="20"/>
        </w:rPr>
        <w:t>. Así es como, realizando una buena implementación de estrategias y medidas se puede lograr una ventaja competitiva y la creación de una red de valor entre los actores principales del sector transporte. Para poder lograrlo se deben conocer las modali</w:t>
      </w:r>
      <w:r>
        <w:rPr>
          <w:color w:val="231F20"/>
          <w:sz w:val="20"/>
          <w:szCs w:val="20"/>
        </w:rPr>
        <w:t xml:space="preserve">dades en las que se da, las cuales son terrestre, fluvial, marítima y aérea, siendo la terrestre la más utilizada en Colombia. Así lo corrobora el Ministerio de Transporte (2019) ya que en las estadísticas reportadas menciona: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En Colombia se movilizaron u</w:t>
      </w:r>
      <w:r>
        <w:rPr>
          <w:color w:val="231F20"/>
          <w:sz w:val="20"/>
          <w:szCs w:val="20"/>
        </w:rPr>
        <w:t>n total de 305 millones de toneladas en el año 2019, lo que implicó un aumento del 1,6 % con respecto al 2018, en donde se había movilizado 300 millones de toneladas. El transporte terrestre carretero es el más representativo dentro del total de movilizaci</w:t>
      </w:r>
      <w:r>
        <w:rPr>
          <w:color w:val="231F20"/>
          <w:sz w:val="20"/>
          <w:szCs w:val="20"/>
        </w:rPr>
        <w:t>ón de carga, con un 81 % de participación (p.99).</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Además de conocer la situación del transporte de carga, es importante conocer los principales problemas del transporte de carga que según </w:t>
      </w:r>
      <w:r>
        <w:rPr>
          <w:color w:val="440AE6"/>
          <w:sz w:val="20"/>
          <w:szCs w:val="20"/>
        </w:rPr>
        <w:t xml:space="preserve">Rodríguez (2013) </w:t>
      </w:r>
      <w:r>
        <w:rPr>
          <w:color w:val="231F20"/>
          <w:sz w:val="20"/>
          <w:szCs w:val="20"/>
        </w:rPr>
        <w:t>son:</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Una red vial limitada y de poca capacidad, son aspectos distintivos cuando se compara con otros países latinoamericanos en vía de desarrollo. En cuanto a la movilización de carga, la antigüedad de los vehículos y su poca capacidad de carga hace que los cos</w:t>
      </w:r>
      <w:r>
        <w:rPr>
          <w:color w:val="231F20"/>
          <w:sz w:val="20"/>
          <w:szCs w:val="20"/>
        </w:rPr>
        <w:t xml:space="preserve">tos de transporte </w:t>
      </w:r>
      <w:r>
        <w:rPr>
          <w:color w:val="231F20"/>
          <w:sz w:val="20"/>
          <w:szCs w:val="20"/>
        </w:rPr>
        <w:lastRenderedPageBreak/>
        <w:t xml:space="preserve">se mantengan altos, afectando la competitividad de los bienes transportados.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También el horario en el que se realiza la carga adquiere importancia, ya que realizarlo en una hora adecuada tiene importantes beneficios como el aumento de la</w:t>
      </w:r>
      <w:r>
        <w:rPr>
          <w:color w:val="231F20"/>
          <w:sz w:val="20"/>
          <w:szCs w:val="20"/>
        </w:rPr>
        <w:t xml:space="preserve"> eficiencia logística pero también aumenta el costo ya que aumenta el salario por ser periodo nocturno. Ciudades como Bogotá y Medellín ya están implementando la Distribución Nocturna de Mercancías (DNM) la cual se realiza entre las 20 horas y 07 horas. Se</w:t>
      </w:r>
      <w:r>
        <w:rPr>
          <w:color w:val="231F20"/>
          <w:sz w:val="20"/>
          <w:szCs w:val="20"/>
        </w:rPr>
        <w:t xml:space="preserve">gún </w:t>
      </w:r>
      <w:r>
        <w:rPr>
          <w:color w:val="440AE6"/>
          <w:sz w:val="20"/>
          <w:szCs w:val="20"/>
        </w:rPr>
        <w:t xml:space="preserve">Eslava (2020), </w:t>
      </w:r>
      <w:r>
        <w:rPr>
          <w:color w:val="231F20"/>
          <w:sz w:val="20"/>
          <w:szCs w:val="20"/>
        </w:rPr>
        <w:t xml:space="preserve">para que sea un éxito es necesaria la cooperación de los sectores público y privado; los actores deben involucrarse y participar activamente.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Por este motivo y teniendo en cuenta que el presente trabajo se plantea para territorios urban</w:t>
      </w:r>
      <w:r>
        <w:rPr>
          <w:color w:val="231F20"/>
          <w:sz w:val="20"/>
          <w:szCs w:val="20"/>
        </w:rPr>
        <w:t>os, el transporte terrestre será el foco de investigación. Ahora bien, en Colombia el gobierno continúa impulsando la política nacional logística buscando apoyar la reactivación económica y cumplir con los objetivos establecidos en el Plan Nacional de Desa</w:t>
      </w:r>
      <w:r>
        <w:rPr>
          <w:color w:val="231F20"/>
          <w:sz w:val="20"/>
          <w:szCs w:val="20"/>
        </w:rPr>
        <w:t>rrollo. En el 2020 a través del documento CONPES 3547 se establecieron estrategias que buscan la consolidación de un sistema nacional logístico articulado y la mejora en las condiciones de competitividad. Además, busca la creación de espacios de observator</w:t>
      </w:r>
      <w:r>
        <w:rPr>
          <w:color w:val="231F20"/>
          <w:sz w:val="20"/>
          <w:szCs w:val="20"/>
        </w:rPr>
        <w:t xml:space="preserve">ios de carga en los espacios académicos de manera que sirvan de apoyo a los entes reguladores a la hora de tomar decisiones de mejora y efectividad en la implementación de diferentes estrategias. Así es como, las universidades se alinean con los objetivos </w:t>
      </w:r>
      <w:r>
        <w:rPr>
          <w:color w:val="231F20"/>
          <w:sz w:val="20"/>
          <w:szCs w:val="20"/>
        </w:rPr>
        <w:t xml:space="preserve">nacionales en proyectos para la mejora del desempeño logístico urbano.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Un ejemplo de la presencia de la academia en la articulación de proyectos que buscan la mejora de las prácticas logísticas es el estudio de carga realizado en el Área Metropolitana del Valle de </w:t>
      </w:r>
      <w:proofErr w:type="spellStart"/>
      <w:r>
        <w:rPr>
          <w:color w:val="231F20"/>
          <w:sz w:val="20"/>
          <w:szCs w:val="20"/>
        </w:rPr>
        <w:t>Aburrá</w:t>
      </w:r>
      <w:proofErr w:type="spellEnd"/>
      <w:r>
        <w:rPr>
          <w:color w:val="231F20"/>
          <w:sz w:val="20"/>
          <w:szCs w:val="20"/>
        </w:rPr>
        <w:t>, realizado por la Universidad Nacional de Colombia.  És</w:t>
      </w:r>
      <w:r>
        <w:rPr>
          <w:color w:val="231F20"/>
          <w:sz w:val="20"/>
          <w:szCs w:val="20"/>
        </w:rPr>
        <w:t xml:space="preserve">te fue realizado para conocer cómo es el transporte de carga en el Valle de </w:t>
      </w:r>
      <w:proofErr w:type="spellStart"/>
      <w:r>
        <w:rPr>
          <w:color w:val="231F20"/>
          <w:sz w:val="20"/>
          <w:szCs w:val="20"/>
        </w:rPr>
        <w:t>Aburrá</w:t>
      </w:r>
      <w:proofErr w:type="spellEnd"/>
      <w:r>
        <w:rPr>
          <w:color w:val="231F20"/>
          <w:sz w:val="20"/>
          <w:szCs w:val="20"/>
        </w:rPr>
        <w:t xml:space="preserve"> y cómo se realiza actualmente, además de estrategias de mejoramiento.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En el Plan de Desarrollo Municipal de Bucaramanga ya se plantean proyectos y programas que “permitan fo</w:t>
      </w:r>
      <w:r>
        <w:rPr>
          <w:color w:val="231F20"/>
          <w:sz w:val="20"/>
          <w:szCs w:val="20"/>
        </w:rPr>
        <w:t>rtalecer las actuaciones que se realizan sobre el territorio, su crecimiento y expansión urbana y los procesos del desarrollo del municipio de forma ordenada, eficiente, responsable y en armonía con su entorno natural”. Una de las líneas estratégicas es se</w:t>
      </w:r>
      <w:r>
        <w:rPr>
          <w:color w:val="231F20"/>
          <w:sz w:val="20"/>
          <w:szCs w:val="20"/>
        </w:rPr>
        <w:t>gún la alcaldía, “Bucaramanga, ciudad vital” que tiene como objetivo mejorar la infraestructura para así “mejorar la experiencia de los ciudadanos al desplazarse por la ciudad, transformando la movilidad por medio de un sistema multimodal e integrado que p</w:t>
      </w:r>
      <w:r>
        <w:rPr>
          <w:color w:val="231F20"/>
          <w:sz w:val="20"/>
          <w:szCs w:val="20"/>
        </w:rPr>
        <w:t xml:space="preserve">roteja la vida, la calidad del aire y centrado en el usuario.” En este sentido, un estudio de carga complementa la iniciativa puesto que va enfocado al mismo objetivo y a su vez se complementa con lo establecido en el documento </w:t>
      </w:r>
      <w:r>
        <w:rPr>
          <w:color w:val="440AE6"/>
          <w:sz w:val="20"/>
          <w:szCs w:val="20"/>
        </w:rPr>
        <w:t>CONPES de la Política Nacion</w:t>
      </w:r>
      <w:r>
        <w:rPr>
          <w:color w:val="440AE6"/>
          <w:sz w:val="20"/>
          <w:szCs w:val="20"/>
        </w:rPr>
        <w:t>al Logística del año 2020.</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Teniendo en cuenta que una de las problemáticas principales del transporte urbano es la contaminación, en Europa el 70% de la población reside en ciudades expuestas diariamente a la contaminación auditiva y ambiental debido a los</w:t>
      </w:r>
      <w:r>
        <w:rPr>
          <w:color w:val="231F20"/>
          <w:sz w:val="20"/>
          <w:szCs w:val="20"/>
        </w:rPr>
        <w:t xml:space="preserve"> gases de efecto invernadero </w:t>
      </w:r>
      <w:r>
        <w:rPr>
          <w:color w:val="231F20"/>
          <w:sz w:val="20"/>
          <w:szCs w:val="20"/>
        </w:rPr>
        <w:lastRenderedPageBreak/>
        <w:t>causados por el transporte, por este motivo han adelantado investigaciones en este tema, creando programas como CIVITAS que busca implementar estrategias de transporte urbano que sean sostenibles, buscando así la concientizació</w:t>
      </w:r>
      <w:r>
        <w:rPr>
          <w:color w:val="231F20"/>
          <w:sz w:val="20"/>
          <w:szCs w:val="20"/>
        </w:rPr>
        <w:t xml:space="preserve">n de la población.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Países como España, Alemania y Croacia han comenzado a probar un método integrado de estructura modular con estrategias como gestión de la demanda, combustibles y vehículos limpios y planes de movilidad urbana sostenible. Además, tienen</w:t>
      </w:r>
      <w:r>
        <w:rPr>
          <w:color w:val="231F20"/>
          <w:sz w:val="20"/>
          <w:szCs w:val="20"/>
        </w:rPr>
        <w:t xml:space="preserve"> proyectos como Living </w:t>
      </w:r>
      <w:proofErr w:type="spellStart"/>
      <w:r>
        <w:rPr>
          <w:color w:val="231F20"/>
          <w:sz w:val="20"/>
          <w:szCs w:val="20"/>
        </w:rPr>
        <w:t>Labs</w:t>
      </w:r>
      <w:proofErr w:type="spellEnd"/>
      <w:r>
        <w:rPr>
          <w:color w:val="231F20"/>
          <w:sz w:val="20"/>
          <w:szCs w:val="20"/>
        </w:rPr>
        <w:t xml:space="preserve"> a través de los cuales las ciudades prueban medidas integradas que buscan cumplir unos objetivos de movilidad, proyectos de investigación, que exploran innovaciones o nuevos conocimientos que aplicados logren soluciones eficient</w:t>
      </w:r>
      <w:r>
        <w:rPr>
          <w:color w:val="231F20"/>
          <w:sz w:val="20"/>
          <w:szCs w:val="20"/>
        </w:rPr>
        <w:t xml:space="preserve">es a problemas de movilidad, por último, realizan proyectos de apoyo que están enfocados en complementar Living </w:t>
      </w:r>
      <w:proofErr w:type="spellStart"/>
      <w:r>
        <w:rPr>
          <w:color w:val="231F20"/>
          <w:sz w:val="20"/>
          <w:szCs w:val="20"/>
        </w:rPr>
        <w:t>Labs</w:t>
      </w:r>
      <w:proofErr w:type="spellEnd"/>
      <w:r>
        <w:rPr>
          <w:color w:val="231F20"/>
          <w:sz w:val="20"/>
          <w:szCs w:val="20"/>
        </w:rPr>
        <w:t xml:space="preserve"> o los proyectos de investigación.</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El pacto verde europeo, hace parte también de toda la dinámica que busca una movilidad más eficiente pero</w:t>
      </w:r>
      <w:r>
        <w:rPr>
          <w:color w:val="231F20"/>
          <w:sz w:val="20"/>
          <w:szCs w:val="20"/>
        </w:rPr>
        <w:t xml:space="preserve"> sostenible, éste busca mejorar el bienestar de la población a través de la disminución del 90% para el 2050 de las emisiones de gases efecto invernadero que actualmente representan el 25% de las emisiones totales.</w:t>
      </w:r>
    </w:p>
    <w:p w:rsidR="00BF7DF3" w:rsidRDefault="00BF7DF3">
      <w:pPr>
        <w:pBdr>
          <w:top w:val="nil"/>
          <w:left w:val="nil"/>
          <w:bottom w:val="nil"/>
          <w:right w:val="nil"/>
          <w:between w:val="nil"/>
        </w:pBdr>
        <w:ind w:left="167" w:right="38"/>
        <w:jc w:val="both"/>
        <w:rPr>
          <w:color w:val="231F20"/>
          <w:sz w:val="20"/>
          <w:szCs w:val="20"/>
        </w:rPr>
      </w:pPr>
    </w:p>
    <w:p w:rsidR="00BF7DF3" w:rsidRDefault="00BF7DF3">
      <w:pPr>
        <w:pBdr>
          <w:top w:val="nil"/>
          <w:left w:val="nil"/>
          <w:bottom w:val="nil"/>
          <w:right w:val="nil"/>
          <w:between w:val="nil"/>
        </w:pBdr>
        <w:ind w:left="167" w:right="38"/>
        <w:jc w:val="both"/>
        <w:rPr>
          <w:color w:val="231F20"/>
          <w:sz w:val="20"/>
          <w:szCs w:val="20"/>
        </w:rPr>
      </w:pPr>
    </w:p>
    <w:p w:rsidR="00BF7DF3" w:rsidRDefault="009709B5">
      <w:pPr>
        <w:pStyle w:val="Ttulo1"/>
        <w:numPr>
          <w:ilvl w:val="0"/>
          <w:numId w:val="1"/>
        </w:numPr>
        <w:tabs>
          <w:tab w:val="left" w:pos="451"/>
        </w:tabs>
        <w:rPr>
          <w:color w:val="231F20"/>
        </w:rPr>
      </w:pPr>
      <w:r>
        <w:rPr>
          <w:color w:val="231F20"/>
        </w:rPr>
        <w:t>Revisión de la literatura sobre metodol</w:t>
      </w:r>
      <w:r>
        <w:rPr>
          <w:color w:val="231F20"/>
        </w:rPr>
        <w:t>ogías utilizadas en estudios de movimiento de carga en territorios urbanos</w:t>
      </w:r>
    </w:p>
    <w:p w:rsidR="00BF7DF3" w:rsidRDefault="00BF7DF3">
      <w:pPr>
        <w:pStyle w:val="Ttulo1"/>
        <w:tabs>
          <w:tab w:val="left" w:pos="451"/>
        </w:tabs>
        <w:ind w:firstLine="0"/>
        <w:rPr>
          <w:color w:val="231F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En este apartado se analiza la información encontrada sobre las metodologías que se han empleado para desarrollar un estudio de transporte de carga de diferentes territorios. Para </w:t>
      </w:r>
      <w:r>
        <w:rPr>
          <w:color w:val="231F20"/>
          <w:sz w:val="20"/>
          <w:szCs w:val="20"/>
        </w:rPr>
        <w:t>ello, se recolectó información de bases científicas y literatura gris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Para el análisis preliminar se revisaron 23 documentos de literatura científica que abordan temáticas referentes a la logística y transporte de carga urbano. De literatura gris se revisa</w:t>
      </w:r>
      <w:r>
        <w:rPr>
          <w:color w:val="231F20"/>
          <w:sz w:val="20"/>
          <w:szCs w:val="20"/>
        </w:rPr>
        <w:t>ron 29 documentos, los cuales se escogieron a través de los métodos: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Bola de nieve: Es un tipo de investigación no probabilística donde por medio de la utilización del marco referencial citado por los autores de un artículo de investigación, se logran enco</w:t>
      </w:r>
      <w:r>
        <w:rPr>
          <w:color w:val="231F20"/>
          <w:sz w:val="20"/>
          <w:szCs w:val="20"/>
        </w:rPr>
        <w:t>ntrar otros de contenido sobresaliente.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Análisis de contenido web: se emplearon herramientas online para ampliar la recolección de información.</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i/>
          <w:color w:val="231F20"/>
          <w:sz w:val="20"/>
          <w:szCs w:val="20"/>
        </w:rPr>
      </w:pPr>
      <w:r>
        <w:rPr>
          <w:i/>
          <w:color w:val="231F20"/>
          <w:sz w:val="20"/>
          <w:szCs w:val="20"/>
        </w:rPr>
        <w:t>2.1. Revisión de la literatura científica</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Según </w:t>
      </w:r>
      <w:r>
        <w:rPr>
          <w:color w:val="440AE6"/>
          <w:sz w:val="20"/>
          <w:szCs w:val="20"/>
        </w:rPr>
        <w:t>Rodríguez (2013)</w:t>
      </w:r>
      <w:r>
        <w:rPr>
          <w:color w:val="231F20"/>
          <w:sz w:val="20"/>
          <w:szCs w:val="20"/>
        </w:rPr>
        <w:t>, El Transporte de Carga por carretera en Colombia representa un factor vital en la dinámica de la economía del país, ya que se convierte en el medio por excelencia para tener los productos al alcance del consumidor final ya sea en el territorio nacional o</w:t>
      </w:r>
      <w:r>
        <w:rPr>
          <w:color w:val="231F20"/>
          <w:sz w:val="20"/>
          <w:szCs w:val="20"/>
        </w:rPr>
        <w:t xml:space="preserve"> en el extranjero.</w:t>
      </w:r>
    </w:p>
    <w:p w:rsidR="00BF7DF3" w:rsidRDefault="009709B5">
      <w:pPr>
        <w:pBdr>
          <w:top w:val="nil"/>
          <w:left w:val="nil"/>
          <w:bottom w:val="nil"/>
          <w:right w:val="nil"/>
          <w:between w:val="nil"/>
        </w:pBdr>
        <w:ind w:left="167" w:right="38" w:firstLine="283"/>
        <w:jc w:val="both"/>
        <w:rPr>
          <w:color w:val="231F20"/>
          <w:sz w:val="20"/>
          <w:szCs w:val="20"/>
        </w:rPr>
      </w:pPr>
      <w:r>
        <w:rPr>
          <w:color w:val="440AE6"/>
          <w:sz w:val="20"/>
          <w:szCs w:val="20"/>
        </w:rPr>
        <w:t xml:space="preserve">Paola Andrea Cruz </w:t>
      </w:r>
      <w:proofErr w:type="spellStart"/>
      <w:r>
        <w:rPr>
          <w:color w:val="440AE6"/>
          <w:sz w:val="20"/>
          <w:szCs w:val="20"/>
        </w:rPr>
        <w:t>Daravina</w:t>
      </w:r>
      <w:proofErr w:type="spellEnd"/>
      <w:r>
        <w:rPr>
          <w:color w:val="440AE6"/>
          <w:sz w:val="20"/>
          <w:szCs w:val="20"/>
        </w:rPr>
        <w:t xml:space="preserve">, (2021) </w:t>
      </w:r>
      <w:r>
        <w:rPr>
          <w:color w:val="231F20"/>
          <w:sz w:val="20"/>
          <w:szCs w:val="20"/>
        </w:rPr>
        <w:t>plantea: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Los centros de las ciudades colombianas sufren una fuerte ocupación del espacio público y la presencia del comercio informal; el deterioro del espacio público se debe a la falta de políticas pú</w:t>
      </w:r>
      <w:r>
        <w:rPr>
          <w:color w:val="231F20"/>
          <w:sz w:val="20"/>
          <w:szCs w:val="20"/>
        </w:rPr>
        <w:t xml:space="preserve">blicas adecuadas y al desempleo. </w:t>
      </w:r>
      <w:r>
        <w:rPr>
          <w:color w:val="231F20"/>
          <w:sz w:val="20"/>
          <w:szCs w:val="20"/>
        </w:rPr>
        <w:lastRenderedPageBreak/>
        <w:t>Los efectos de la degradación de los centros urbanos es una preocupación nacional creciente. Se han desarrollado en Cali varios proyectos de renovación por una política nacional que busca optimizar el desarrollo urbano (CON</w:t>
      </w:r>
      <w:r>
        <w:rPr>
          <w:color w:val="231F20"/>
          <w:sz w:val="20"/>
          <w:szCs w:val="20"/>
        </w:rPr>
        <w:t>PES 3305/2004). Sin embargo, la movilidad de las mercancías ha quedado fuera de la agenda; no está considerada en las leyes de sostenibilidad (Ley 1083, 2006; LOOT, 2011), ni se considera en las normativas y proyectos urbanos locales (p.2).</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Teniendo en cuenta lo anterior, es interesante analizar qué han hecho otras ciudades en este sentido y de qué manera han implementado medidas y estrategias como lo indic</w:t>
      </w:r>
      <w:r>
        <w:rPr>
          <w:color w:val="000000"/>
          <w:sz w:val="20"/>
          <w:szCs w:val="20"/>
        </w:rPr>
        <w:t>a (</w:t>
      </w:r>
      <w:proofErr w:type="spellStart"/>
      <w:r>
        <w:rPr>
          <w:color w:val="000000"/>
          <w:sz w:val="20"/>
          <w:szCs w:val="20"/>
        </w:rPr>
        <w:t>Gatta</w:t>
      </w:r>
      <w:proofErr w:type="spellEnd"/>
      <w:r>
        <w:rPr>
          <w:color w:val="000000"/>
          <w:sz w:val="20"/>
          <w:szCs w:val="20"/>
        </w:rPr>
        <w:t xml:space="preserve"> et al, 2017</w:t>
      </w:r>
      <w:r>
        <w:rPr>
          <w:color w:val="231F20"/>
          <w:sz w:val="20"/>
          <w:szCs w:val="20"/>
        </w:rPr>
        <w:t>) cuando afirma: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El Transporte urbano de mercancías es una parte ca</w:t>
      </w:r>
      <w:r>
        <w:rPr>
          <w:color w:val="231F20"/>
          <w:sz w:val="20"/>
          <w:szCs w:val="20"/>
        </w:rPr>
        <w:t>da vez más importante de la vida de la ciudad moderna, determinando ventajas ecológicas y contribuyendo al bienestar y, al mismo tiempo, genera importantes costes sociales. La gestión del transporte urbano de mercancías requiere que los responsables de las</w:t>
      </w:r>
      <w:r>
        <w:rPr>
          <w:color w:val="231F20"/>
          <w:sz w:val="20"/>
          <w:szCs w:val="20"/>
        </w:rPr>
        <w:t xml:space="preserve"> políticas locales alcancen un equilibrio entre rendimiento, habitabilidad, seguridad y sostenibilidad. (p.1).</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Europa es un ejemplo de esto, actualmente varias ciudades han adelantado investigaciones y la puesta en marcha de diferentes proyectos siguiendo </w:t>
      </w:r>
      <w:r>
        <w:rPr>
          <w:color w:val="231F20"/>
          <w:sz w:val="20"/>
          <w:szCs w:val="20"/>
        </w:rPr>
        <w:t xml:space="preserve">los lineamientos dados por la Comisión Europea y tomando como guía las directrices de </w:t>
      </w:r>
      <w:r>
        <w:rPr>
          <w:color w:val="440AE6"/>
          <w:sz w:val="20"/>
          <w:szCs w:val="20"/>
        </w:rPr>
        <w:t>ENCLOSE</w:t>
      </w:r>
      <w:r>
        <w:rPr>
          <w:color w:val="231F20"/>
          <w:sz w:val="20"/>
          <w:szCs w:val="20"/>
        </w:rPr>
        <w:t xml:space="preserve">. </w:t>
      </w:r>
      <w:proofErr w:type="spellStart"/>
      <w:r>
        <w:rPr>
          <w:color w:val="231F20"/>
          <w:sz w:val="20"/>
          <w:szCs w:val="20"/>
        </w:rPr>
        <w:t>Bologna</w:t>
      </w:r>
      <w:proofErr w:type="spellEnd"/>
      <w:r>
        <w:rPr>
          <w:color w:val="231F20"/>
          <w:sz w:val="20"/>
          <w:szCs w:val="20"/>
        </w:rPr>
        <w:t>, particularmente desarrolló un Plan Urbano de Logística Sostenible y para esto (</w:t>
      </w:r>
      <w:proofErr w:type="spellStart"/>
      <w:r>
        <w:rPr>
          <w:color w:val="231F20"/>
          <w:sz w:val="20"/>
          <w:szCs w:val="20"/>
        </w:rPr>
        <w:t>Comi</w:t>
      </w:r>
      <w:proofErr w:type="spellEnd"/>
      <w:r>
        <w:rPr>
          <w:color w:val="231F20"/>
          <w:sz w:val="20"/>
          <w:szCs w:val="20"/>
        </w:rPr>
        <w:t xml:space="preserve"> et al, 2019) definió una metodología con los siguientes pasos: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Revel</w:t>
      </w:r>
      <w:r>
        <w:rPr>
          <w:color w:val="231F20"/>
          <w:sz w:val="20"/>
          <w:szCs w:val="20"/>
        </w:rPr>
        <w:t>ar los problemas críticos actuales mediante encuestas específicas (recopilación de datos de cuestiones críticas).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Definir modelos para simular el escenario actual y evaluar el futuro.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Poner en común los objetivos y encontrar un compromiso óptimo entre los </w:t>
      </w:r>
      <w:r>
        <w:rPr>
          <w:color w:val="231F20"/>
          <w:sz w:val="20"/>
          <w:szCs w:val="20"/>
        </w:rPr>
        <w:t>diferentes actores implicados.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Evaluar el nuevo escenario mediante la estimación de los impactos y el rendimiento del sistema, y compararlos con un conjunto de valores objetivo.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Supervisar el sistema de transporte de mercancías tras la aplicación del escen</w:t>
      </w:r>
      <w:r>
        <w:rPr>
          <w:color w:val="231F20"/>
          <w:sz w:val="20"/>
          <w:szCs w:val="20"/>
        </w:rPr>
        <w:t>ario para evaluar la eficacia de las soluciones aplicadas.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Estados Unidos también trabaja en la creación de planes de acción para diferentes ciudades, donde algunas de las tareas para crear una guía de mejora para el sistema de transporte son según (</w:t>
      </w:r>
      <w:r>
        <w:rPr>
          <w:color w:val="440AE6"/>
          <w:sz w:val="20"/>
          <w:szCs w:val="20"/>
        </w:rPr>
        <w:t>Holguí</w:t>
      </w:r>
      <w:r>
        <w:rPr>
          <w:color w:val="440AE6"/>
          <w:sz w:val="20"/>
          <w:szCs w:val="20"/>
        </w:rPr>
        <w:t>n-Veras, y otros, 2015):</w:t>
      </w:r>
    </w:p>
    <w:p w:rsidR="00BF7DF3" w:rsidRDefault="009709B5">
      <w:pPr>
        <w:numPr>
          <w:ilvl w:val="0"/>
          <w:numId w:val="2"/>
        </w:numPr>
        <w:pBdr>
          <w:top w:val="nil"/>
          <w:left w:val="nil"/>
          <w:bottom w:val="nil"/>
          <w:right w:val="nil"/>
          <w:between w:val="nil"/>
        </w:pBdr>
        <w:ind w:right="38"/>
        <w:jc w:val="both"/>
        <w:rPr>
          <w:color w:val="231F20"/>
          <w:sz w:val="20"/>
          <w:szCs w:val="20"/>
        </w:rPr>
      </w:pPr>
      <w:r>
        <w:rPr>
          <w:color w:val="231F20"/>
          <w:sz w:val="20"/>
          <w:szCs w:val="20"/>
        </w:rPr>
        <w:t xml:space="preserve">Alcance de las partes interesadas y coordinación de </w:t>
      </w:r>
      <w:proofErr w:type="gramStart"/>
      <w:r>
        <w:rPr>
          <w:color w:val="231F20"/>
          <w:sz w:val="20"/>
          <w:szCs w:val="20"/>
        </w:rPr>
        <w:t>las  agencias</w:t>
      </w:r>
      <w:proofErr w:type="gramEnd"/>
      <w:r>
        <w:rPr>
          <w:color w:val="231F20"/>
          <w:sz w:val="20"/>
          <w:szCs w:val="20"/>
        </w:rPr>
        <w:t>.</w:t>
      </w:r>
    </w:p>
    <w:p w:rsidR="00BF7DF3" w:rsidRDefault="009709B5">
      <w:pPr>
        <w:numPr>
          <w:ilvl w:val="0"/>
          <w:numId w:val="2"/>
        </w:numPr>
        <w:pBdr>
          <w:top w:val="nil"/>
          <w:left w:val="nil"/>
          <w:bottom w:val="nil"/>
          <w:right w:val="nil"/>
          <w:between w:val="nil"/>
        </w:pBdr>
        <w:ind w:right="38"/>
        <w:jc w:val="both"/>
        <w:rPr>
          <w:color w:val="231F20"/>
          <w:sz w:val="20"/>
          <w:szCs w:val="20"/>
        </w:rPr>
      </w:pPr>
      <w:r>
        <w:rPr>
          <w:color w:val="231F20"/>
          <w:sz w:val="20"/>
          <w:szCs w:val="20"/>
        </w:rPr>
        <w:t>Recogida de datos.</w:t>
      </w:r>
    </w:p>
    <w:p w:rsidR="00BF7DF3" w:rsidRDefault="009709B5">
      <w:pPr>
        <w:numPr>
          <w:ilvl w:val="0"/>
          <w:numId w:val="2"/>
        </w:numPr>
        <w:pBdr>
          <w:top w:val="nil"/>
          <w:left w:val="nil"/>
          <w:bottom w:val="nil"/>
          <w:right w:val="nil"/>
          <w:between w:val="nil"/>
        </w:pBdr>
        <w:ind w:right="38"/>
        <w:jc w:val="both"/>
        <w:rPr>
          <w:color w:val="231F20"/>
          <w:sz w:val="20"/>
          <w:szCs w:val="20"/>
        </w:rPr>
      </w:pPr>
      <w:r>
        <w:rPr>
          <w:color w:val="231F20"/>
          <w:sz w:val="20"/>
          <w:szCs w:val="20"/>
        </w:rPr>
        <w:t>Evaluación y análisis.</w:t>
      </w:r>
    </w:p>
    <w:p w:rsidR="00BF7DF3" w:rsidRDefault="009709B5">
      <w:pPr>
        <w:numPr>
          <w:ilvl w:val="0"/>
          <w:numId w:val="2"/>
        </w:numPr>
        <w:pBdr>
          <w:top w:val="nil"/>
          <w:left w:val="nil"/>
          <w:bottom w:val="nil"/>
          <w:right w:val="nil"/>
          <w:between w:val="nil"/>
        </w:pBdr>
        <w:ind w:right="38"/>
        <w:jc w:val="both"/>
        <w:rPr>
          <w:color w:val="231F20"/>
          <w:sz w:val="20"/>
          <w:szCs w:val="20"/>
        </w:rPr>
      </w:pPr>
      <w:r>
        <w:rPr>
          <w:color w:val="231F20"/>
          <w:sz w:val="20"/>
          <w:szCs w:val="20"/>
        </w:rPr>
        <w:t>Generación de resultados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Se puede observar que hay elementos en común a la hora de implementar una metodología u otra, como lo son la recogida de datos y el análisis de estos, además de evaluar los resultados obtenidos. Ciudades de Estados Unidos como New York ya han puesto en prá</w:t>
      </w:r>
      <w:r>
        <w:rPr>
          <w:color w:val="231F20"/>
          <w:sz w:val="20"/>
          <w:szCs w:val="20"/>
        </w:rPr>
        <w:t xml:space="preserve">ctica este plan de acción para resolver diferentes problemas relacionados con la carga y descarga, para uno de los casos debido al flujo de tráfico de camiones a través de un distrito </w:t>
      </w:r>
      <w:r>
        <w:rPr>
          <w:color w:val="231F20"/>
          <w:sz w:val="20"/>
          <w:szCs w:val="20"/>
        </w:rPr>
        <w:lastRenderedPageBreak/>
        <w:t>residencial y comercial se planeó un estudio enfocado en mejorar esto. D</w:t>
      </w:r>
      <w:r>
        <w:rPr>
          <w:color w:val="231F20"/>
          <w:sz w:val="20"/>
          <w:szCs w:val="20"/>
        </w:rPr>
        <w:t>e donde se sacaron conclusiones como la importancia de trabajar estrechamente con la comunidad, identificar cuidadosamente los problemas y considerar soluciones de bajo coste entre otras.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Y es que distribuir el espacio urbano es un reto actual ya que puede</w:t>
      </w:r>
      <w:r>
        <w:rPr>
          <w:color w:val="231F20"/>
          <w:sz w:val="20"/>
          <w:szCs w:val="20"/>
        </w:rPr>
        <w:t xml:space="preserve">n entrar en conflicto las actividades logísticas como la de carga y descarga con las actividades urbanas. Según </w:t>
      </w:r>
      <w:r>
        <w:rPr>
          <w:color w:val="440AE6"/>
          <w:sz w:val="20"/>
          <w:szCs w:val="20"/>
        </w:rPr>
        <w:t>(MOUFAD &amp; JAWAB, 2020</w:t>
      </w:r>
      <w:r>
        <w:rPr>
          <w:color w:val="231F20"/>
          <w:sz w:val="20"/>
          <w:szCs w:val="20"/>
        </w:rPr>
        <w:t>) para hacerle frente, las bahías de entrega urbana se han convertido en una solución real para facilitar la entrega y reco</w:t>
      </w:r>
      <w:r>
        <w:rPr>
          <w:color w:val="231F20"/>
          <w:sz w:val="20"/>
          <w:szCs w:val="20"/>
        </w:rPr>
        <w:t>gida de los vehículos de carga urbana, garantizar la accesibilidad a los conductores de entrega, reducir la congestión y mejorar la seguridad vial, reducir el estacionamiento ilegal, etc.</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Para llegar a esta conclusión, fue necesaria la recolección de datos</w:t>
      </w:r>
      <w:r>
        <w:rPr>
          <w:color w:val="231F20"/>
          <w:sz w:val="20"/>
          <w:szCs w:val="20"/>
        </w:rPr>
        <w:t xml:space="preserve"> y su posterior análisis ya que, según </w:t>
      </w:r>
      <w:proofErr w:type="spellStart"/>
      <w:r>
        <w:rPr>
          <w:color w:val="440AE6"/>
          <w:sz w:val="20"/>
          <w:szCs w:val="20"/>
        </w:rPr>
        <w:t>Ducret</w:t>
      </w:r>
      <w:proofErr w:type="spellEnd"/>
      <w:r>
        <w:rPr>
          <w:color w:val="440AE6"/>
          <w:sz w:val="20"/>
          <w:szCs w:val="20"/>
        </w:rPr>
        <w:t xml:space="preserve"> et al, (2015):</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Un análisis espacial unido a un enfoque logístico proporciona un diagnóstico pertinente para los profesionales de la logística urbana y las autoridades locales. La modelización urbana espacial de</w:t>
      </w:r>
      <w:r>
        <w:rPr>
          <w:color w:val="231F20"/>
          <w:sz w:val="20"/>
          <w:szCs w:val="20"/>
        </w:rPr>
        <w:t>l transporte urbano de mercancías podría ayudar a las autoridades locales a comprender mejor la logística e incluso a aportar respuestas operativas. Podría ser útil y utilizado de forma independiente por los proveedores de paquetes y de logística urbana, a</w:t>
      </w:r>
      <w:r>
        <w:rPr>
          <w:color w:val="231F20"/>
          <w:sz w:val="20"/>
          <w:szCs w:val="20"/>
        </w:rPr>
        <w:t>sí como por los gobiernos locales gracias al desarrollo de bases de datos abiertas a nivel urbano (p.312).</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Otra de las ventajas de la recolección de datos y la creación de bases de datos es como lo menciona </w:t>
      </w:r>
      <w:proofErr w:type="spellStart"/>
      <w:r>
        <w:rPr>
          <w:color w:val="440AE6"/>
          <w:sz w:val="20"/>
          <w:szCs w:val="20"/>
        </w:rPr>
        <w:t>Krasovskaya</w:t>
      </w:r>
      <w:proofErr w:type="spellEnd"/>
      <w:r>
        <w:rPr>
          <w:color w:val="440AE6"/>
          <w:sz w:val="20"/>
          <w:szCs w:val="20"/>
        </w:rPr>
        <w:t xml:space="preserve">, </w:t>
      </w:r>
      <w:proofErr w:type="spellStart"/>
      <w:r>
        <w:rPr>
          <w:color w:val="440AE6"/>
          <w:sz w:val="20"/>
          <w:szCs w:val="20"/>
        </w:rPr>
        <w:t>Schislyaeva</w:t>
      </w:r>
      <w:proofErr w:type="spellEnd"/>
      <w:r>
        <w:rPr>
          <w:color w:val="440AE6"/>
          <w:sz w:val="20"/>
          <w:szCs w:val="20"/>
        </w:rPr>
        <w:t xml:space="preserve">, &amp; </w:t>
      </w:r>
      <w:proofErr w:type="spellStart"/>
      <w:r>
        <w:rPr>
          <w:color w:val="440AE6"/>
          <w:sz w:val="20"/>
          <w:szCs w:val="20"/>
        </w:rPr>
        <w:t>Shamrai</w:t>
      </w:r>
      <w:proofErr w:type="spellEnd"/>
      <w:r>
        <w:rPr>
          <w:color w:val="440AE6"/>
          <w:sz w:val="20"/>
          <w:szCs w:val="20"/>
        </w:rPr>
        <w:t xml:space="preserve"> (2021):</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El </w:t>
      </w:r>
      <w:proofErr w:type="spellStart"/>
      <w:r>
        <w:rPr>
          <w:color w:val="231F20"/>
          <w:sz w:val="20"/>
          <w:szCs w:val="20"/>
        </w:rPr>
        <w:t>bi</w:t>
      </w:r>
      <w:r>
        <w:rPr>
          <w:color w:val="231F20"/>
          <w:sz w:val="20"/>
          <w:szCs w:val="20"/>
        </w:rPr>
        <w:t>g</w:t>
      </w:r>
      <w:proofErr w:type="spellEnd"/>
      <w:r>
        <w:rPr>
          <w:color w:val="231F20"/>
          <w:sz w:val="20"/>
          <w:szCs w:val="20"/>
        </w:rPr>
        <w:t xml:space="preserve"> data para los residentes de una ciudad inteligente, centrada en proporcionar información factual oportuna a los ciudadanos, permite ahorrar significativamente tiempo en los procedimientos estándar de registro, colas, etc. Así en las Smart </w:t>
      </w:r>
      <w:proofErr w:type="spellStart"/>
      <w:r>
        <w:rPr>
          <w:color w:val="231F20"/>
          <w:sz w:val="20"/>
          <w:szCs w:val="20"/>
        </w:rPr>
        <w:t>Cities</w:t>
      </w:r>
      <w:proofErr w:type="spellEnd"/>
      <w:r>
        <w:rPr>
          <w:color w:val="231F20"/>
          <w:sz w:val="20"/>
          <w:szCs w:val="20"/>
        </w:rPr>
        <w:t xml:space="preserve"> la logís</w:t>
      </w:r>
      <w:r>
        <w:rPr>
          <w:color w:val="231F20"/>
          <w:sz w:val="20"/>
          <w:szCs w:val="20"/>
        </w:rPr>
        <w:t xml:space="preserve">tica del transporte de pasajeros como componentes estructurales y procesos empresariales implica la planificación, previsión, gestión, seguimiento y evaluación de la eficiencia económica de los flujos de pasajeros y de los vehículos que los sirven, de las </w:t>
      </w:r>
      <w:r>
        <w:rPr>
          <w:color w:val="231F20"/>
          <w:sz w:val="20"/>
          <w:szCs w:val="20"/>
        </w:rPr>
        <w:t>instalaciones logísticas y de los algoritmos de transporte en los sistemas de transporte (p.3).</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A fin de garantizar un sistema eficiente de distribución urbana de mercancías, se deben tener en cuenta 4 categorías: la medioambiental, económica, social y de </w:t>
      </w:r>
      <w:r>
        <w:rPr>
          <w:color w:val="231F20"/>
          <w:sz w:val="20"/>
          <w:szCs w:val="20"/>
        </w:rPr>
        <w:t>movilidad. Este objetivo, se puede lograr a través de la implementación de metodologías que según (</w:t>
      </w:r>
      <w:proofErr w:type="spellStart"/>
      <w:r>
        <w:rPr>
          <w:color w:val="440AE6"/>
          <w:sz w:val="20"/>
          <w:szCs w:val="20"/>
        </w:rPr>
        <w:t>Russo</w:t>
      </w:r>
      <w:proofErr w:type="spellEnd"/>
      <w:r>
        <w:rPr>
          <w:color w:val="440AE6"/>
          <w:sz w:val="20"/>
          <w:szCs w:val="20"/>
        </w:rPr>
        <w:t xml:space="preserve"> &amp; </w:t>
      </w:r>
      <w:proofErr w:type="spellStart"/>
      <w:r>
        <w:rPr>
          <w:color w:val="440AE6"/>
          <w:sz w:val="20"/>
          <w:szCs w:val="20"/>
        </w:rPr>
        <w:t>Comi</w:t>
      </w:r>
      <w:proofErr w:type="spellEnd"/>
      <w:r>
        <w:rPr>
          <w:color w:val="440AE6"/>
          <w:sz w:val="20"/>
          <w:szCs w:val="20"/>
        </w:rPr>
        <w:t>, 2016</w:t>
      </w:r>
      <w:r>
        <w:rPr>
          <w:color w:val="231F20"/>
          <w:sz w:val="20"/>
          <w:szCs w:val="20"/>
        </w:rPr>
        <w:t>) deben consistir en 4 clases: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Infraestructuras materiales, consistentes en la construcción de nuevas infraestructuras para optimizar el tr</w:t>
      </w:r>
      <w:r>
        <w:rPr>
          <w:color w:val="231F20"/>
          <w:sz w:val="20"/>
          <w:szCs w:val="20"/>
        </w:rPr>
        <w:t>ansporte de mercancías.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Infraestructuras no materiales, consistentes, en general, en soluciones relacionadas con la investigación, el aprendizaje y la formación, mientras que la telemática en términos de sistemas inteligentes de transporte.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Equipos, consistente en la introducción de nuevas normas para las unidades de carga y transporte.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Gobernanza, que consiste en acciones relacionadas con las normas y límites de tráfico.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w:t>
      </w:r>
      <w:proofErr w:type="spellStart"/>
      <w:r>
        <w:rPr>
          <w:color w:val="440AE6"/>
          <w:sz w:val="20"/>
          <w:szCs w:val="20"/>
        </w:rPr>
        <w:t>Letnik</w:t>
      </w:r>
      <w:proofErr w:type="spellEnd"/>
      <w:r>
        <w:rPr>
          <w:color w:val="440AE6"/>
          <w:sz w:val="20"/>
          <w:szCs w:val="20"/>
        </w:rPr>
        <w:t xml:space="preserve">, </w:t>
      </w:r>
      <w:proofErr w:type="spellStart"/>
      <w:r>
        <w:rPr>
          <w:color w:val="440AE6"/>
          <w:sz w:val="20"/>
          <w:szCs w:val="20"/>
        </w:rPr>
        <w:t>Marksel</w:t>
      </w:r>
      <w:proofErr w:type="spellEnd"/>
      <w:r>
        <w:rPr>
          <w:color w:val="440AE6"/>
          <w:sz w:val="20"/>
          <w:szCs w:val="20"/>
        </w:rPr>
        <w:t xml:space="preserve">, </w:t>
      </w:r>
      <w:proofErr w:type="spellStart"/>
      <w:r>
        <w:rPr>
          <w:color w:val="440AE6"/>
          <w:sz w:val="20"/>
          <w:szCs w:val="20"/>
        </w:rPr>
        <w:t>Luppino</w:t>
      </w:r>
      <w:proofErr w:type="spellEnd"/>
      <w:r>
        <w:rPr>
          <w:color w:val="440AE6"/>
          <w:sz w:val="20"/>
          <w:szCs w:val="20"/>
        </w:rPr>
        <w:t xml:space="preserve">, Bardi, &amp; </w:t>
      </w:r>
      <w:proofErr w:type="spellStart"/>
      <w:r>
        <w:rPr>
          <w:color w:val="440AE6"/>
          <w:sz w:val="20"/>
          <w:szCs w:val="20"/>
        </w:rPr>
        <w:t>Bozicnik</w:t>
      </w:r>
      <w:proofErr w:type="spellEnd"/>
      <w:r>
        <w:rPr>
          <w:color w:val="440AE6"/>
          <w:sz w:val="20"/>
          <w:szCs w:val="20"/>
        </w:rPr>
        <w:t>, 2018</w:t>
      </w:r>
      <w:r>
        <w:rPr>
          <w:color w:val="231F20"/>
          <w:sz w:val="20"/>
          <w:szCs w:val="20"/>
        </w:rPr>
        <w:t xml:space="preserve">) en </w:t>
      </w:r>
      <w:r>
        <w:rPr>
          <w:color w:val="231F20"/>
          <w:sz w:val="20"/>
          <w:szCs w:val="20"/>
        </w:rPr>
        <w:lastRenderedPageBreak/>
        <w:t>su estudio estab</w:t>
      </w:r>
      <w:r>
        <w:rPr>
          <w:color w:val="231F20"/>
          <w:sz w:val="20"/>
          <w:szCs w:val="20"/>
        </w:rPr>
        <w:t>lecen algunas de las políticas que se pueden implementar para lograr este objetivo, entre ellas están las políticas regulatorias, políticas energéticas, políticas de transporte, de planeación etc. En Europa, algunas de las políticas y medidas de transporte</w:t>
      </w:r>
      <w:r>
        <w:rPr>
          <w:color w:val="231F20"/>
          <w:sz w:val="20"/>
          <w:szCs w:val="20"/>
        </w:rPr>
        <w:t xml:space="preserve"> urbano de mercancías son aplicadas en los documentos estratégicos de las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ciudades como lo son: </w:t>
      </w:r>
      <w:proofErr w:type="spellStart"/>
      <w:r>
        <w:rPr>
          <w:color w:val="231F20"/>
          <w:sz w:val="20"/>
          <w:szCs w:val="20"/>
        </w:rPr>
        <w:t>SUMPs</w:t>
      </w:r>
      <w:proofErr w:type="spellEnd"/>
      <w:r>
        <w:rPr>
          <w:color w:val="231F20"/>
          <w:sz w:val="20"/>
          <w:szCs w:val="20"/>
        </w:rPr>
        <w:t xml:space="preserve">, documentos del plan de movilidad con medidas logísticas de la ciudad y </w:t>
      </w:r>
      <w:proofErr w:type="spellStart"/>
      <w:r>
        <w:rPr>
          <w:color w:val="231F20"/>
          <w:sz w:val="20"/>
          <w:szCs w:val="20"/>
        </w:rPr>
        <w:t>SULPs</w:t>
      </w:r>
      <w:proofErr w:type="spellEnd"/>
      <w:r>
        <w:rPr>
          <w:color w:val="231F20"/>
          <w:sz w:val="20"/>
          <w:szCs w:val="20"/>
        </w:rPr>
        <w:t>.</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El cuidado del medio ambiente también es un tema que se aborda a la hora d</w:t>
      </w:r>
      <w:r>
        <w:rPr>
          <w:color w:val="231F20"/>
          <w:sz w:val="20"/>
          <w:szCs w:val="20"/>
        </w:rPr>
        <w:t xml:space="preserve">e desarrollar planes de acción en las ciudades, ya que la construcción creciente de infraestructuras de transporte y los efectos perjudiciales sobre la salud son cada vez mayores. La reducción de las emisiones de gases de efecto invernadero, de las cuales </w:t>
      </w:r>
      <w:r>
        <w:rPr>
          <w:color w:val="231F20"/>
          <w:sz w:val="20"/>
          <w:szCs w:val="20"/>
        </w:rPr>
        <w:t xml:space="preserve">dióxido de carbono, ha sido el principal objetivo </w:t>
      </w:r>
      <w:proofErr w:type="spellStart"/>
      <w:r>
        <w:rPr>
          <w:color w:val="231F20"/>
          <w:sz w:val="20"/>
          <w:szCs w:val="20"/>
        </w:rPr>
        <w:t>objetivo</w:t>
      </w:r>
      <w:proofErr w:type="spellEnd"/>
      <w:r>
        <w:rPr>
          <w:color w:val="231F20"/>
          <w:sz w:val="20"/>
          <w:szCs w:val="20"/>
        </w:rPr>
        <w:t xml:space="preserve"> medioambiental de la mayoría de los gobiernos del mundo desarrollado según (</w:t>
      </w:r>
      <w:proofErr w:type="spellStart"/>
      <w:r>
        <w:rPr>
          <w:color w:val="440AE6"/>
          <w:sz w:val="20"/>
          <w:szCs w:val="20"/>
        </w:rPr>
        <w:t>Chocholac</w:t>
      </w:r>
      <w:proofErr w:type="spellEnd"/>
      <w:r>
        <w:rPr>
          <w:color w:val="440AE6"/>
          <w:sz w:val="20"/>
          <w:szCs w:val="20"/>
        </w:rPr>
        <w:t xml:space="preserve">, </w:t>
      </w:r>
      <w:proofErr w:type="spellStart"/>
      <w:r>
        <w:rPr>
          <w:color w:val="440AE6"/>
          <w:sz w:val="20"/>
          <w:szCs w:val="20"/>
        </w:rPr>
        <w:t>Hyrslova</w:t>
      </w:r>
      <w:proofErr w:type="spellEnd"/>
      <w:r>
        <w:rPr>
          <w:color w:val="440AE6"/>
          <w:sz w:val="20"/>
          <w:szCs w:val="20"/>
        </w:rPr>
        <w:t xml:space="preserve">, </w:t>
      </w:r>
      <w:proofErr w:type="spellStart"/>
      <w:r>
        <w:rPr>
          <w:color w:val="440AE6"/>
          <w:sz w:val="20"/>
          <w:szCs w:val="20"/>
        </w:rPr>
        <w:t>Kucera</w:t>
      </w:r>
      <w:proofErr w:type="spellEnd"/>
      <w:r>
        <w:rPr>
          <w:color w:val="440AE6"/>
          <w:sz w:val="20"/>
          <w:szCs w:val="20"/>
        </w:rPr>
        <w:t xml:space="preserve">, </w:t>
      </w:r>
      <w:proofErr w:type="spellStart"/>
      <w:r>
        <w:rPr>
          <w:color w:val="440AE6"/>
          <w:sz w:val="20"/>
          <w:szCs w:val="20"/>
        </w:rPr>
        <w:t>Machalik</w:t>
      </w:r>
      <w:proofErr w:type="spellEnd"/>
      <w:r>
        <w:rPr>
          <w:color w:val="440AE6"/>
          <w:sz w:val="20"/>
          <w:szCs w:val="20"/>
        </w:rPr>
        <w:t xml:space="preserve">, &amp; </w:t>
      </w:r>
      <w:proofErr w:type="spellStart"/>
      <w:r>
        <w:rPr>
          <w:color w:val="440AE6"/>
          <w:sz w:val="20"/>
          <w:szCs w:val="20"/>
        </w:rPr>
        <w:t>Hruska</w:t>
      </w:r>
      <w:proofErr w:type="spellEnd"/>
      <w:r>
        <w:rPr>
          <w:color w:val="440AE6"/>
          <w:sz w:val="20"/>
          <w:szCs w:val="20"/>
        </w:rPr>
        <w:t>, 2019</w:t>
      </w:r>
      <w:r>
        <w:rPr>
          <w:color w:val="231F20"/>
          <w:sz w:val="20"/>
          <w:szCs w:val="20"/>
        </w:rPr>
        <w:t>). Los efectos a largo plazo del CO2 puede ser letal en las personas</w:t>
      </w:r>
      <w:r>
        <w:rPr>
          <w:color w:val="231F20"/>
          <w:sz w:val="20"/>
          <w:szCs w:val="20"/>
        </w:rPr>
        <w:t xml:space="preserve"> por lo que surge la necesidad de monitorearlo y buscar medidas para reducir la emisión. Además de la contaminación ambiental, la contaminación acústica también genera un impacto negativo en la sociedad, ya que la exposición a altos niveles de ruido afecta</w:t>
      </w:r>
      <w:r>
        <w:rPr>
          <w:color w:val="231F20"/>
          <w:sz w:val="20"/>
          <w:szCs w:val="20"/>
        </w:rPr>
        <w:t xml:space="preserve"> la calidad de vida. Según la Agencia Europea de Medio Ambiente, la exposición prolongada a altos niveles de ruido es una de las causas que provocan 48 000 nuevos casos de cardiopatía isquémica al año, así como 12 000 muertes prematuras. Sin embargo, estos</w:t>
      </w:r>
      <w:r>
        <w:rPr>
          <w:color w:val="231F20"/>
          <w:sz w:val="20"/>
          <w:szCs w:val="20"/>
        </w:rPr>
        <w:t xml:space="preserve"> efectos nocivos se pueden reducir mediante la aplicación de diferentes medidas como asfalto que reduce el ruido, llantas especializadas, etc., diferentes políticas y medidas que controlen el ruido.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Teniendo en cuenta lo anterior, los gobiernos deben establecer políticas para regular los efectos negativos del transporte de mercancía. Aunque la identificación de los objetivos de la política de transporte urbano de mercancía por parte de las autoridades</w:t>
      </w:r>
      <w:r>
        <w:rPr>
          <w:color w:val="231F20"/>
          <w:sz w:val="20"/>
          <w:szCs w:val="20"/>
        </w:rPr>
        <w:t xml:space="preserve"> locales está fuertemente influenciada por otras autoridades, como los gobiernos nacionales y la Unión Europea. La reducción de los niveles de emisión y la congestión, aumentar la seguridad vial, facilitar la accesibilidad y proporcionar movilidad son los </w:t>
      </w:r>
      <w:r>
        <w:rPr>
          <w:color w:val="231F20"/>
          <w:sz w:val="20"/>
          <w:szCs w:val="20"/>
        </w:rPr>
        <w:t>objetivos más comunes. Estudios anteriores indican que las autoridades locales han comenzado recientemente a centrar su atención en el transporte urbano de mercancías como parte de la planificación del transporte local tal como lo cita (</w:t>
      </w:r>
      <w:proofErr w:type="spellStart"/>
      <w:r>
        <w:rPr>
          <w:color w:val="440AE6"/>
          <w:sz w:val="20"/>
          <w:szCs w:val="20"/>
        </w:rPr>
        <w:t>Akgün</w:t>
      </w:r>
      <w:proofErr w:type="spellEnd"/>
      <w:r>
        <w:rPr>
          <w:color w:val="440AE6"/>
          <w:sz w:val="20"/>
          <w:szCs w:val="20"/>
        </w:rPr>
        <w:t xml:space="preserve">, </w:t>
      </w:r>
      <w:proofErr w:type="spellStart"/>
      <w:r>
        <w:rPr>
          <w:color w:val="440AE6"/>
          <w:sz w:val="20"/>
          <w:szCs w:val="20"/>
        </w:rPr>
        <w:t>Monios</w:t>
      </w:r>
      <w:proofErr w:type="spellEnd"/>
      <w:r>
        <w:rPr>
          <w:color w:val="440AE6"/>
          <w:sz w:val="20"/>
          <w:szCs w:val="20"/>
        </w:rPr>
        <w:t xml:space="preserve">, </w:t>
      </w:r>
      <w:proofErr w:type="spellStart"/>
      <w:r>
        <w:rPr>
          <w:color w:val="440AE6"/>
          <w:sz w:val="20"/>
          <w:szCs w:val="20"/>
        </w:rPr>
        <w:t>Rye</w:t>
      </w:r>
      <w:proofErr w:type="spellEnd"/>
      <w:r>
        <w:rPr>
          <w:color w:val="440AE6"/>
          <w:sz w:val="20"/>
          <w:szCs w:val="20"/>
        </w:rPr>
        <w:t>,</w:t>
      </w:r>
      <w:r>
        <w:rPr>
          <w:color w:val="440AE6"/>
          <w:sz w:val="20"/>
          <w:szCs w:val="20"/>
        </w:rPr>
        <w:t xml:space="preserve"> &amp; </w:t>
      </w:r>
      <w:proofErr w:type="spellStart"/>
      <w:r>
        <w:rPr>
          <w:color w:val="440AE6"/>
          <w:sz w:val="20"/>
          <w:szCs w:val="20"/>
        </w:rPr>
        <w:t>Fonzone</w:t>
      </w:r>
      <w:proofErr w:type="spellEnd"/>
      <w:r>
        <w:rPr>
          <w:color w:val="440AE6"/>
          <w:sz w:val="20"/>
          <w:szCs w:val="20"/>
        </w:rPr>
        <w:t>, 2019</w:t>
      </w:r>
      <w:r>
        <w:rPr>
          <w:color w:val="231F20"/>
          <w:sz w:val="20"/>
          <w:szCs w:val="20"/>
        </w:rPr>
        <w:t>).</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Entrando ahora al contexto nacional, se realizó un estudio en Bogotá para la medición del rendimiento medioambiental de los sistemas de transporte urbano de mercancías donde </w:t>
      </w:r>
      <w:r>
        <w:rPr>
          <w:color w:val="440AE6"/>
          <w:sz w:val="20"/>
          <w:szCs w:val="20"/>
        </w:rPr>
        <w:t>Muñoz Villamizar, Santos, Montoya Torres, &amp; Josué C. (2020</w:t>
      </w:r>
      <w:r>
        <w:rPr>
          <w:color w:val="231F20"/>
          <w:sz w:val="20"/>
          <w:szCs w:val="20"/>
        </w:rPr>
        <w:t>) con</w:t>
      </w:r>
      <w:r>
        <w:rPr>
          <w:color w:val="231F20"/>
          <w:sz w:val="20"/>
          <w:szCs w:val="20"/>
        </w:rPr>
        <w:t>cluyeron:</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Hay tres elementos son esenciales para la evaluación medioambiental de los sistemas UFT:</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 1) las herramientas deben caracterizar y evaluar de forma holística las perspectivas de las diferentes partes interesadas de las partes interesadas; 2) la m</w:t>
      </w:r>
      <w:r>
        <w:rPr>
          <w:color w:val="231F20"/>
          <w:sz w:val="20"/>
          <w:szCs w:val="20"/>
        </w:rPr>
        <w:t xml:space="preserve">etodología debe ser aplicable y transferible y 3) deben tenerse en cuenta ciertos factores productivos/económicos. Por lo tanto, el enfoque propuesto puede ampliarse proporcionando una metodología de medición holística. </w:t>
      </w:r>
      <w:r>
        <w:rPr>
          <w:color w:val="231F20"/>
          <w:sz w:val="20"/>
          <w:szCs w:val="20"/>
        </w:rPr>
        <w:lastRenderedPageBreak/>
        <w:t>Ahora basándose en la legislación ac</w:t>
      </w:r>
      <w:r>
        <w:rPr>
          <w:color w:val="231F20"/>
          <w:sz w:val="20"/>
          <w:szCs w:val="20"/>
        </w:rPr>
        <w:t>tual de Bogotá, la introducción de políticas más estrictas para los sistemas puede ser contraproducente para la configuración del sistema UFT. (p.8).</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Por todo lo mencionado anteriormente, es indispensable que el sector transporte cuente con los elementos n</w:t>
      </w:r>
      <w:r>
        <w:rPr>
          <w:color w:val="231F20"/>
          <w:sz w:val="20"/>
          <w:szCs w:val="20"/>
        </w:rPr>
        <w:t>ecesarios para asumir el gran compromiso que tiene en el desarrollo económico. Esto teniendo en cuenta que la mayor parte de la población vive en ciudades, las cuales están cada vez más interconectadas y por ende necesitan una red logística robusta que per</w:t>
      </w:r>
      <w:r>
        <w:rPr>
          <w:color w:val="231F20"/>
          <w:sz w:val="20"/>
          <w:szCs w:val="20"/>
        </w:rPr>
        <w:t>mita la creación de una red de valor entre proveedores y clientes. Así se puede observar la estrecha relación entre la logística y el transporte de carga.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Continuando con el análisis preliminar se aborda el estado actual de planeación vial del área metropo</w:t>
      </w:r>
      <w:r>
        <w:rPr>
          <w:color w:val="231F20"/>
          <w:sz w:val="20"/>
          <w:szCs w:val="20"/>
        </w:rPr>
        <w:t>litana por medio de la revisión de señalización vial, planes de Manejo de Tráfico (PMT), plan Especial de Parqueaderos (PEP), infraestructura de corredores viales pertenecientes a las redes primarias, secundarias y terciarias emitidos por la Dirección de t</w:t>
      </w:r>
      <w:r>
        <w:rPr>
          <w:color w:val="231F20"/>
          <w:sz w:val="20"/>
          <w:szCs w:val="20"/>
        </w:rPr>
        <w:t>ránsito de Bucaramanga. Además de esto, se inicia la relación de las características demográficas y del sistema de movilidad actual con el desarrollo del transporte de carga en la ciudad, profundizando en los factores que tienen efecto sobre este: análisis</w:t>
      </w:r>
      <w:r>
        <w:rPr>
          <w:color w:val="231F20"/>
          <w:sz w:val="20"/>
          <w:szCs w:val="20"/>
        </w:rPr>
        <w:t xml:space="preserve"> de cifras sobre los diferentes tipos de vehículos cargueros, Índice de costos del transporte de carga por carretera (ICTC), restricciones horarias para desplazamiento de vehículos de carga dentro del territorio entre otros.</w:t>
      </w:r>
    </w:p>
    <w:p w:rsidR="00BF7DF3" w:rsidRDefault="009709B5">
      <w:pPr>
        <w:pBdr>
          <w:top w:val="nil"/>
          <w:left w:val="nil"/>
          <w:bottom w:val="nil"/>
          <w:right w:val="nil"/>
          <w:between w:val="nil"/>
        </w:pBdr>
        <w:ind w:left="167" w:right="38" w:firstLine="283"/>
        <w:jc w:val="both"/>
        <w:rPr>
          <w:color w:val="231F20"/>
          <w:sz w:val="20"/>
          <w:szCs w:val="20"/>
        </w:rPr>
      </w:pPr>
      <w:r>
        <w:rPr>
          <w:color w:val="440AE6"/>
          <w:sz w:val="20"/>
          <w:szCs w:val="20"/>
        </w:rPr>
        <w:t xml:space="preserve">(Arenas, s.f.) </w:t>
      </w:r>
      <w:r>
        <w:rPr>
          <w:color w:val="231F20"/>
          <w:sz w:val="20"/>
          <w:szCs w:val="20"/>
        </w:rPr>
        <w:t>enumera 5 fallas</w:t>
      </w:r>
      <w:r>
        <w:rPr>
          <w:color w:val="231F20"/>
          <w:sz w:val="20"/>
          <w:szCs w:val="20"/>
        </w:rPr>
        <w:t xml:space="preserve"> que tiene el espacio público en Bucaramanga, las cuales son:</w:t>
      </w:r>
    </w:p>
    <w:p w:rsidR="00BF7DF3" w:rsidRDefault="009709B5">
      <w:pPr>
        <w:numPr>
          <w:ilvl w:val="0"/>
          <w:numId w:val="3"/>
        </w:numPr>
        <w:pBdr>
          <w:top w:val="nil"/>
          <w:left w:val="nil"/>
          <w:bottom w:val="nil"/>
          <w:right w:val="nil"/>
          <w:between w:val="nil"/>
        </w:pBdr>
        <w:ind w:right="38"/>
        <w:jc w:val="both"/>
        <w:rPr>
          <w:color w:val="231F20"/>
          <w:sz w:val="20"/>
          <w:szCs w:val="20"/>
        </w:rPr>
      </w:pPr>
      <w:r>
        <w:rPr>
          <w:color w:val="231F20"/>
          <w:sz w:val="20"/>
          <w:szCs w:val="20"/>
        </w:rPr>
        <w:t>Ausencia de políticas a largo plazo, cada administración nueva no tiene en cuenta los proyectos ya realizados por la anterior administración, lo que provoca que estos se pierdan.</w:t>
      </w:r>
    </w:p>
    <w:p w:rsidR="00BF7DF3" w:rsidRDefault="009709B5">
      <w:pPr>
        <w:numPr>
          <w:ilvl w:val="0"/>
          <w:numId w:val="3"/>
        </w:numPr>
        <w:pBdr>
          <w:top w:val="nil"/>
          <w:left w:val="nil"/>
          <w:bottom w:val="nil"/>
          <w:right w:val="nil"/>
          <w:between w:val="nil"/>
        </w:pBdr>
        <w:ind w:right="38"/>
        <w:jc w:val="both"/>
        <w:rPr>
          <w:color w:val="231F20"/>
          <w:sz w:val="20"/>
          <w:szCs w:val="20"/>
        </w:rPr>
      </w:pPr>
      <w:r>
        <w:rPr>
          <w:color w:val="231F20"/>
          <w:sz w:val="20"/>
          <w:szCs w:val="20"/>
        </w:rPr>
        <w:t>Falta de regula</w:t>
      </w:r>
      <w:r>
        <w:rPr>
          <w:color w:val="231F20"/>
          <w:sz w:val="20"/>
          <w:szCs w:val="20"/>
        </w:rPr>
        <w:t>ción en las vías: la dirección de tránsito no ha implementado estrategias claras para evitar la invasión de las vías.</w:t>
      </w:r>
    </w:p>
    <w:p w:rsidR="00BF7DF3" w:rsidRDefault="009709B5">
      <w:pPr>
        <w:numPr>
          <w:ilvl w:val="0"/>
          <w:numId w:val="3"/>
        </w:numPr>
        <w:pBdr>
          <w:top w:val="nil"/>
          <w:left w:val="nil"/>
          <w:bottom w:val="nil"/>
          <w:right w:val="nil"/>
          <w:between w:val="nil"/>
        </w:pBdr>
        <w:ind w:right="38"/>
        <w:jc w:val="both"/>
        <w:rPr>
          <w:color w:val="231F20"/>
          <w:sz w:val="20"/>
          <w:szCs w:val="20"/>
        </w:rPr>
      </w:pPr>
      <w:r>
        <w:rPr>
          <w:color w:val="231F20"/>
          <w:sz w:val="20"/>
          <w:szCs w:val="20"/>
        </w:rPr>
        <w:t>Censos sin seguimiento: no hay control de los vendedores informales.</w:t>
      </w:r>
    </w:p>
    <w:p w:rsidR="00BF7DF3" w:rsidRDefault="009709B5">
      <w:pPr>
        <w:numPr>
          <w:ilvl w:val="0"/>
          <w:numId w:val="3"/>
        </w:numPr>
        <w:pBdr>
          <w:top w:val="nil"/>
          <w:left w:val="nil"/>
          <w:bottom w:val="nil"/>
          <w:right w:val="nil"/>
          <w:between w:val="nil"/>
        </w:pBdr>
        <w:ind w:right="38"/>
        <w:jc w:val="both"/>
        <w:rPr>
          <w:color w:val="231F20"/>
          <w:sz w:val="20"/>
          <w:szCs w:val="20"/>
        </w:rPr>
      </w:pPr>
      <w:r>
        <w:rPr>
          <w:color w:val="231F20"/>
          <w:sz w:val="20"/>
          <w:szCs w:val="20"/>
        </w:rPr>
        <w:t>Tarifas de cobro impuestas a los vendedores callejeros por el uso del</w:t>
      </w:r>
      <w:r>
        <w:rPr>
          <w:color w:val="231F20"/>
          <w:sz w:val="20"/>
          <w:szCs w:val="20"/>
        </w:rPr>
        <w:t xml:space="preserve"> espacio público.</w:t>
      </w:r>
    </w:p>
    <w:p w:rsidR="00BF7DF3" w:rsidRDefault="009709B5">
      <w:pPr>
        <w:numPr>
          <w:ilvl w:val="0"/>
          <w:numId w:val="3"/>
        </w:numPr>
        <w:pBdr>
          <w:top w:val="nil"/>
          <w:left w:val="nil"/>
          <w:bottom w:val="nil"/>
          <w:right w:val="nil"/>
          <w:between w:val="nil"/>
        </w:pBdr>
        <w:ind w:right="38"/>
        <w:jc w:val="both"/>
        <w:rPr>
          <w:color w:val="231F20"/>
          <w:sz w:val="20"/>
          <w:szCs w:val="20"/>
        </w:rPr>
      </w:pPr>
      <w:r>
        <w:rPr>
          <w:color w:val="231F20"/>
          <w:sz w:val="20"/>
          <w:szCs w:val="20"/>
        </w:rPr>
        <w:t>Falta de vigilancia y sanción.</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     Comerciantes y administradores están preocupados por la falta de control en materia de regulación y planes de acción para la mejora de la situación. Teniendo en cuenta todo lo anteriormente mencionado, </w:t>
      </w:r>
      <w:r>
        <w:rPr>
          <w:color w:val="231F20"/>
          <w:sz w:val="20"/>
          <w:szCs w:val="20"/>
        </w:rPr>
        <w:t>la investigación se centra en los estudios e investigaciones realizadas en el mundo, pero también en los realizados a nivel nacional y más específicamente en Bucaramanga. Para así poder tener un panorama completo de la información disponible, de manera que</w:t>
      </w:r>
      <w:r>
        <w:rPr>
          <w:color w:val="231F20"/>
          <w:sz w:val="20"/>
          <w:szCs w:val="20"/>
        </w:rPr>
        <w:t xml:space="preserve"> sea posible brindar conclusiones sólidas basadas en datos.</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i/>
          <w:color w:val="231F20"/>
          <w:sz w:val="20"/>
          <w:szCs w:val="20"/>
        </w:rPr>
      </w:pPr>
      <w:r>
        <w:rPr>
          <w:i/>
          <w:color w:val="231F20"/>
          <w:sz w:val="20"/>
          <w:szCs w:val="20"/>
        </w:rPr>
        <w:t>2.2. Revisión de la literatura gris</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     Se hará una revisión de literatura gris de manera que se tenga una perspectiva más amplia de la literatura analizada y más fuentes que puedan enriquecer el </w:t>
      </w:r>
      <w:r>
        <w:rPr>
          <w:color w:val="231F20"/>
          <w:sz w:val="20"/>
          <w:szCs w:val="20"/>
        </w:rPr>
        <w:lastRenderedPageBreak/>
        <w:t>presente documento</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i/>
          <w:color w:val="231F20"/>
          <w:sz w:val="20"/>
          <w:szCs w:val="20"/>
        </w:rPr>
      </w:pPr>
      <w:r>
        <w:rPr>
          <w:i/>
          <w:color w:val="231F20"/>
          <w:sz w:val="20"/>
          <w:szCs w:val="20"/>
        </w:rPr>
        <w:t>2.2.</w:t>
      </w:r>
      <w:proofErr w:type="gramStart"/>
      <w:r>
        <w:rPr>
          <w:i/>
          <w:color w:val="231F20"/>
          <w:sz w:val="20"/>
          <w:szCs w:val="20"/>
        </w:rPr>
        <w:t>1.Métodos</w:t>
      </w:r>
      <w:proofErr w:type="gramEnd"/>
      <w:r>
        <w:rPr>
          <w:i/>
          <w:color w:val="231F20"/>
          <w:sz w:val="20"/>
          <w:szCs w:val="20"/>
        </w:rPr>
        <w:t xml:space="preserve"> De Investigación:</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     Para el hallazgo de documentación relevante de origen no convencional o literatura gris se emplearon los métodos de bola de nieve y análisis de contenido web con el fin de ampliar el contenido de información encontrada en la revisión de la literatura </w:t>
      </w:r>
      <w:r>
        <w:rPr>
          <w:color w:val="231F20"/>
          <w:sz w:val="20"/>
          <w:szCs w:val="20"/>
        </w:rPr>
        <w:t>científica.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   </w:t>
      </w:r>
    </w:p>
    <w:p w:rsidR="00BF7DF3" w:rsidRDefault="009709B5">
      <w:pPr>
        <w:pBdr>
          <w:top w:val="nil"/>
          <w:left w:val="nil"/>
          <w:bottom w:val="nil"/>
          <w:right w:val="nil"/>
          <w:between w:val="nil"/>
        </w:pBdr>
        <w:ind w:left="167" w:right="38" w:firstLine="283"/>
        <w:jc w:val="both"/>
        <w:rPr>
          <w:i/>
          <w:color w:val="231F20"/>
          <w:sz w:val="20"/>
          <w:szCs w:val="20"/>
        </w:rPr>
      </w:pPr>
      <w:r>
        <w:rPr>
          <w:i/>
          <w:color w:val="231F20"/>
          <w:sz w:val="20"/>
          <w:szCs w:val="20"/>
        </w:rPr>
        <w:t xml:space="preserve">2.2.1.1.  </w:t>
      </w:r>
      <w:proofErr w:type="gramStart"/>
      <w:r>
        <w:rPr>
          <w:i/>
          <w:color w:val="231F20"/>
          <w:sz w:val="20"/>
          <w:szCs w:val="20"/>
        </w:rPr>
        <w:t>Método bola</w:t>
      </w:r>
      <w:proofErr w:type="gramEnd"/>
      <w:r>
        <w:rPr>
          <w:i/>
          <w:color w:val="231F20"/>
          <w:sz w:val="20"/>
          <w:szCs w:val="20"/>
        </w:rPr>
        <w:t xml:space="preserve"> de nieve: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Es un tipo de investigación no probabilística donde por medio de la utilización del marco referencial citado por los autores de un artículo de investigación, se logran encontrar otros de contenido sobresalien</w:t>
      </w:r>
      <w:r>
        <w:rPr>
          <w:color w:val="231F20"/>
          <w:sz w:val="20"/>
          <w:szCs w:val="20"/>
        </w:rPr>
        <w:t xml:space="preserve">te. Esta técnica es elegida por aumentar las redes </w:t>
      </w:r>
      <w:proofErr w:type="spellStart"/>
      <w:r>
        <w:rPr>
          <w:color w:val="231F20"/>
          <w:sz w:val="20"/>
          <w:szCs w:val="20"/>
        </w:rPr>
        <w:t>bibliométricas</w:t>
      </w:r>
      <w:proofErr w:type="spellEnd"/>
      <w:r>
        <w:rPr>
          <w:color w:val="231F20"/>
          <w:sz w:val="20"/>
          <w:szCs w:val="20"/>
        </w:rPr>
        <w:t xml:space="preserve"> establecidas con documentos que sirvieron de base para la redacción de los ya encontrados en la revisión de literatura científica y literatura, lo anterior debido al limitado resultado que s</w:t>
      </w:r>
      <w:r>
        <w:rPr>
          <w:color w:val="231F20"/>
          <w:sz w:val="20"/>
          <w:szCs w:val="20"/>
        </w:rPr>
        <w:t xml:space="preserve">e logró establecer de estas. De una manera más general, el método de bola de nieve se conoce como “una técnica para encontrar al objeto de investigación. En la misma, un sujeto le da al investigador el nombre de otro, que a su vez proporciona el nombre de </w:t>
      </w:r>
      <w:r>
        <w:rPr>
          <w:color w:val="231F20"/>
          <w:sz w:val="20"/>
          <w:szCs w:val="20"/>
        </w:rPr>
        <w:t xml:space="preserve">un tercero, y así sucesivamente” </w:t>
      </w:r>
      <w:r>
        <w:rPr>
          <w:color w:val="440AE6"/>
          <w:sz w:val="20"/>
          <w:szCs w:val="20"/>
        </w:rPr>
        <w:t>(</w:t>
      </w:r>
      <w:proofErr w:type="spellStart"/>
      <w:r>
        <w:rPr>
          <w:color w:val="440AE6"/>
          <w:sz w:val="20"/>
          <w:szCs w:val="20"/>
        </w:rPr>
        <w:t>Atkinson</w:t>
      </w:r>
      <w:proofErr w:type="spellEnd"/>
      <w:r>
        <w:rPr>
          <w:color w:val="440AE6"/>
          <w:sz w:val="20"/>
          <w:szCs w:val="20"/>
        </w:rPr>
        <w:t xml:space="preserve"> &amp; Flint, </w:t>
      </w:r>
      <w:proofErr w:type="spellStart"/>
      <w:r>
        <w:rPr>
          <w:color w:val="440AE6"/>
          <w:sz w:val="20"/>
          <w:szCs w:val="20"/>
        </w:rPr>
        <w:t>Pag</w:t>
      </w:r>
      <w:proofErr w:type="spellEnd"/>
      <w:r>
        <w:rPr>
          <w:color w:val="440AE6"/>
          <w:sz w:val="20"/>
          <w:szCs w:val="20"/>
        </w:rPr>
        <w:t xml:space="preserve"> 1.). </w:t>
      </w:r>
      <w:r>
        <w:rPr>
          <w:color w:val="231F20"/>
          <w:sz w:val="20"/>
          <w:szCs w:val="20"/>
        </w:rPr>
        <w:t>La figura 1. representa la cadena de artículos y la forma en que se relacionan durante la aplicación de este método de investigación.</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noProof/>
          <w:color w:val="000000"/>
          <w:sz w:val="20"/>
          <w:szCs w:val="20"/>
        </w:rPr>
        <w:drawing>
          <wp:inline distT="0" distB="0" distL="0" distR="0">
            <wp:extent cx="3115911" cy="1587970"/>
            <wp:effectExtent l="0" t="0" r="0" b="0"/>
            <wp:docPr id="12" name="image6.png" descr="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6.png" descr="Diagrama&#10;&#10;Descripción generada automáticamente"/>
                    <pic:cNvPicPr preferRelativeResize="0"/>
                  </pic:nvPicPr>
                  <pic:blipFill>
                    <a:blip r:embed="rId18"/>
                    <a:srcRect/>
                    <a:stretch>
                      <a:fillRect/>
                    </a:stretch>
                  </pic:blipFill>
                  <pic:spPr>
                    <a:xfrm>
                      <a:off x="0" y="0"/>
                      <a:ext cx="3115911" cy="1587970"/>
                    </a:xfrm>
                    <a:prstGeom prst="rect">
                      <a:avLst/>
                    </a:prstGeom>
                    <a:ln/>
                  </pic:spPr>
                </pic:pic>
              </a:graphicData>
            </a:graphic>
          </wp:inline>
        </w:drawing>
      </w:r>
    </w:p>
    <w:p w:rsidR="00BF7DF3" w:rsidRDefault="00BF7DF3">
      <w:pPr>
        <w:pBdr>
          <w:top w:val="nil"/>
          <w:left w:val="nil"/>
          <w:bottom w:val="nil"/>
          <w:right w:val="nil"/>
          <w:between w:val="nil"/>
        </w:pBdr>
        <w:ind w:right="38"/>
        <w:jc w:val="both"/>
        <w:rPr>
          <w:color w:val="231F20"/>
          <w:sz w:val="20"/>
          <w:szCs w:val="20"/>
        </w:rPr>
      </w:pP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b/>
          <w:color w:val="231F20"/>
          <w:sz w:val="20"/>
          <w:szCs w:val="20"/>
        </w:rPr>
      </w:pPr>
      <w:r>
        <w:rPr>
          <w:b/>
          <w:color w:val="231F20"/>
          <w:sz w:val="20"/>
          <w:szCs w:val="20"/>
        </w:rPr>
        <w:t xml:space="preserve">Figura 1. </w:t>
      </w:r>
      <w:proofErr w:type="gramStart"/>
      <w:r>
        <w:rPr>
          <w:color w:val="231F20"/>
          <w:sz w:val="20"/>
          <w:szCs w:val="20"/>
        </w:rPr>
        <w:t>Método bola</w:t>
      </w:r>
      <w:proofErr w:type="gramEnd"/>
      <w:r>
        <w:rPr>
          <w:color w:val="231F20"/>
          <w:sz w:val="20"/>
          <w:szCs w:val="20"/>
        </w:rPr>
        <w:t xml:space="preserve"> de Nieve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Fuente: Elaboración propi</w:t>
      </w:r>
      <w:r>
        <w:rPr>
          <w:color w:val="231F20"/>
          <w:sz w:val="20"/>
          <w:szCs w:val="20"/>
        </w:rPr>
        <w:t>a</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i/>
          <w:color w:val="231F20"/>
          <w:sz w:val="20"/>
          <w:szCs w:val="20"/>
        </w:rPr>
      </w:pPr>
      <w:r>
        <w:rPr>
          <w:i/>
          <w:color w:val="231F20"/>
          <w:sz w:val="20"/>
          <w:szCs w:val="20"/>
        </w:rPr>
        <w:t>2.2.1.2. Método de análisis de contenido web:</w:t>
      </w:r>
    </w:p>
    <w:p w:rsidR="00BF7DF3" w:rsidRDefault="00BF7DF3">
      <w:pPr>
        <w:pBdr>
          <w:top w:val="nil"/>
          <w:left w:val="nil"/>
          <w:bottom w:val="nil"/>
          <w:right w:val="nil"/>
          <w:between w:val="nil"/>
        </w:pBdr>
        <w:ind w:left="167" w:right="38" w:firstLine="283"/>
        <w:jc w:val="both"/>
        <w:rPr>
          <w:i/>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    Siguiendo con el análisis de información de origen no científico, se emplearon herramientas online para ampliar la recolección de información. El uso de redes sociales permitió la observación de artículos de opinión, noticias y conferencias relacionado</w:t>
      </w:r>
      <w:r>
        <w:rPr>
          <w:color w:val="231F20"/>
          <w:sz w:val="20"/>
          <w:szCs w:val="20"/>
        </w:rPr>
        <w:t>s con la investigación.</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i/>
          <w:color w:val="231F20"/>
          <w:sz w:val="20"/>
          <w:szCs w:val="20"/>
        </w:rPr>
      </w:pPr>
      <w:r>
        <w:rPr>
          <w:i/>
          <w:color w:val="231F20"/>
          <w:sz w:val="20"/>
          <w:szCs w:val="20"/>
        </w:rPr>
        <w:t>2.3. Desarrollo revisión de literatura gris.</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«La importancia dada al concepto de logística se refleja en la apuesta que han hecho desde los planes de desarrollo tanto la ciudad como el departamento, que proponen líneas de acción e</w:t>
      </w:r>
      <w:r>
        <w:rPr>
          <w:color w:val="231F20"/>
          <w:sz w:val="20"/>
          <w:szCs w:val="20"/>
        </w:rPr>
        <w:t xml:space="preserve">specíficas con el enfoque regional a través de un actuar público-privado </w:t>
      </w:r>
      <w:r>
        <w:rPr>
          <w:color w:val="440AE6"/>
          <w:sz w:val="20"/>
          <w:szCs w:val="20"/>
        </w:rPr>
        <w:t xml:space="preserve">(Rojas et al, 2017). </w:t>
      </w:r>
      <w:r>
        <w:rPr>
          <w:color w:val="231F20"/>
          <w:sz w:val="20"/>
          <w:szCs w:val="20"/>
        </w:rPr>
        <w:t xml:space="preserve">Y es que las ciudades cada vez se enfrentan a más retos relacionados con el transporte de carga, así lo mencionan </w:t>
      </w:r>
      <w:proofErr w:type="spellStart"/>
      <w:r>
        <w:rPr>
          <w:color w:val="440AE6"/>
          <w:sz w:val="20"/>
          <w:szCs w:val="20"/>
        </w:rPr>
        <w:t>Bjørgen</w:t>
      </w:r>
      <w:proofErr w:type="spellEnd"/>
      <w:r>
        <w:rPr>
          <w:color w:val="440AE6"/>
          <w:sz w:val="20"/>
          <w:szCs w:val="20"/>
        </w:rPr>
        <w:t xml:space="preserve"> y </w:t>
      </w:r>
      <w:proofErr w:type="spellStart"/>
      <w:r>
        <w:rPr>
          <w:color w:val="440AE6"/>
          <w:sz w:val="20"/>
          <w:szCs w:val="20"/>
        </w:rPr>
        <w:t>Ryghaug</w:t>
      </w:r>
      <w:proofErr w:type="spellEnd"/>
      <w:r>
        <w:rPr>
          <w:color w:val="440AE6"/>
          <w:sz w:val="20"/>
          <w:szCs w:val="20"/>
        </w:rPr>
        <w:t xml:space="preserve"> (2022) </w:t>
      </w:r>
      <w:r>
        <w:rPr>
          <w:color w:val="231F20"/>
          <w:sz w:val="20"/>
          <w:szCs w:val="20"/>
        </w:rPr>
        <w:t>cuando dicen “El espaci</w:t>
      </w:r>
      <w:r>
        <w:rPr>
          <w:color w:val="231F20"/>
          <w:sz w:val="20"/>
          <w:szCs w:val="20"/>
        </w:rPr>
        <w:t xml:space="preserve">o se está </w:t>
      </w:r>
      <w:r>
        <w:rPr>
          <w:color w:val="231F20"/>
          <w:sz w:val="20"/>
          <w:szCs w:val="20"/>
        </w:rPr>
        <w:lastRenderedPageBreak/>
        <w:t xml:space="preserve">convirtiendo en un recurso escaso en las ciudades debido a la urbanización y a la creciente densificación. Además, el crecimiento del transporte urbano de mercancías y el aumento de la interacción entre las personas y el movimiento de mercancías </w:t>
      </w:r>
      <w:r>
        <w:rPr>
          <w:color w:val="231F20"/>
          <w:sz w:val="20"/>
          <w:szCs w:val="20"/>
        </w:rPr>
        <w:t>exigen una mejor accesibilidad al espacio urbano.”  Por lo que surge la necesidad de buscar soluciones a esta problemática En consecuencia, la planificación del transporte urbano de mercancías necesita incorporar a distintos actores de la ciudad para logra</w:t>
      </w:r>
      <w:r>
        <w:rPr>
          <w:color w:val="231F20"/>
          <w:sz w:val="20"/>
          <w:szCs w:val="20"/>
        </w:rPr>
        <w:t xml:space="preserve">r el objetivo de ser viable y a su vez sostenible. </w:t>
      </w:r>
    </w:p>
    <w:p w:rsidR="00BF7DF3" w:rsidRDefault="009709B5">
      <w:pPr>
        <w:pBdr>
          <w:top w:val="nil"/>
          <w:left w:val="nil"/>
          <w:bottom w:val="nil"/>
          <w:right w:val="nil"/>
          <w:between w:val="nil"/>
        </w:pBdr>
        <w:ind w:left="167" w:right="38" w:firstLine="283"/>
        <w:jc w:val="both"/>
        <w:rPr>
          <w:color w:val="231F20"/>
          <w:sz w:val="20"/>
          <w:szCs w:val="20"/>
        </w:rPr>
      </w:pPr>
      <w:proofErr w:type="spellStart"/>
      <w:r>
        <w:rPr>
          <w:color w:val="440AE6"/>
          <w:sz w:val="20"/>
          <w:szCs w:val="20"/>
        </w:rPr>
        <w:t>Bjørgen</w:t>
      </w:r>
      <w:proofErr w:type="spellEnd"/>
      <w:r>
        <w:rPr>
          <w:color w:val="440AE6"/>
          <w:sz w:val="20"/>
          <w:szCs w:val="20"/>
        </w:rPr>
        <w:t xml:space="preserve"> y </w:t>
      </w:r>
      <w:proofErr w:type="spellStart"/>
      <w:r>
        <w:rPr>
          <w:color w:val="440AE6"/>
          <w:sz w:val="20"/>
          <w:szCs w:val="20"/>
        </w:rPr>
        <w:t>Ryghaug</w:t>
      </w:r>
      <w:proofErr w:type="spellEnd"/>
      <w:r>
        <w:rPr>
          <w:color w:val="440AE6"/>
          <w:sz w:val="20"/>
          <w:szCs w:val="20"/>
        </w:rPr>
        <w:t xml:space="preserve"> (2022) </w:t>
      </w:r>
      <w:r>
        <w:rPr>
          <w:color w:val="231F20"/>
          <w:sz w:val="20"/>
          <w:szCs w:val="20"/>
        </w:rPr>
        <w:t>concluyen lo siguiente:</w:t>
      </w:r>
    </w:p>
    <w:p w:rsidR="00BF7DF3" w:rsidRDefault="009709B5">
      <w:pPr>
        <w:pBdr>
          <w:top w:val="nil"/>
          <w:left w:val="nil"/>
          <w:bottom w:val="nil"/>
          <w:right w:val="nil"/>
          <w:between w:val="nil"/>
        </w:pBdr>
        <w:ind w:left="167" w:right="38" w:firstLine="283"/>
        <w:jc w:val="both"/>
        <w:rPr>
          <w:color w:val="440AE6"/>
          <w:sz w:val="20"/>
          <w:szCs w:val="20"/>
        </w:rPr>
      </w:pPr>
      <w:r>
        <w:rPr>
          <w:color w:val="231F20"/>
          <w:sz w:val="20"/>
          <w:szCs w:val="20"/>
        </w:rPr>
        <w:t>La planificación del transporte urbano de mercancías necesita formar parte de un contexto más amplio e incluirse en la planificación de la movilidad y la c</w:t>
      </w:r>
      <w:r>
        <w:rPr>
          <w:color w:val="231F20"/>
          <w:sz w:val="20"/>
          <w:szCs w:val="20"/>
        </w:rPr>
        <w:t xml:space="preserve">iudad </w:t>
      </w:r>
      <w:r>
        <w:rPr>
          <w:color w:val="440AE6"/>
          <w:sz w:val="20"/>
          <w:szCs w:val="20"/>
        </w:rPr>
        <w:t>(</w:t>
      </w:r>
      <w:proofErr w:type="spellStart"/>
      <w:r>
        <w:rPr>
          <w:color w:val="440AE6"/>
          <w:sz w:val="20"/>
          <w:szCs w:val="20"/>
        </w:rPr>
        <w:t>Dablanc</w:t>
      </w:r>
      <w:proofErr w:type="spellEnd"/>
      <w:r>
        <w:rPr>
          <w:color w:val="440AE6"/>
          <w:sz w:val="20"/>
          <w:szCs w:val="20"/>
        </w:rPr>
        <w:t>, 2019)</w:t>
      </w:r>
      <w:r>
        <w:rPr>
          <w:color w:val="231F20"/>
          <w:sz w:val="20"/>
          <w:szCs w:val="20"/>
        </w:rPr>
        <w:t xml:space="preserve">. Además, la futura gobernanza y las recomendaciones políticas, tal y como se recoge en los planes estratégicos y las herramientas de regulación, deben tener en cuenta que la elaboración de políticas públicas lleva un tiempo, mientras </w:t>
      </w:r>
      <w:r>
        <w:rPr>
          <w:color w:val="231F20"/>
          <w:sz w:val="20"/>
          <w:szCs w:val="20"/>
        </w:rPr>
        <w:t xml:space="preserve">que los empresarios suelen precipitarse en la toma de decisiones debido a los plazos más cortos </w:t>
      </w:r>
      <w:r>
        <w:rPr>
          <w:color w:val="440AE6"/>
          <w:sz w:val="20"/>
          <w:szCs w:val="20"/>
        </w:rPr>
        <w:t>(Hull, 2008).</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Teniendo en cuenta que las iniciativas del gobierno son cruciales para un buen desarrollo de la ciudad, el Ministerio de Transporte colombiano ha </w:t>
      </w:r>
      <w:r>
        <w:rPr>
          <w:color w:val="231F20"/>
          <w:sz w:val="20"/>
          <w:szCs w:val="20"/>
        </w:rPr>
        <w:t xml:space="preserve">venido trabajando en dotar al sector de la información necesaria para poder evaluar el papel que viene desempeñando dentro del aparato productivo nacional, para la planeación hacía futuro y la formulación de políticas de desarrollo </w:t>
      </w:r>
      <w:r>
        <w:rPr>
          <w:color w:val="440AE6"/>
          <w:sz w:val="20"/>
          <w:szCs w:val="20"/>
        </w:rPr>
        <w:t xml:space="preserve">(Torres, 2013).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Continu</w:t>
      </w:r>
      <w:r>
        <w:rPr>
          <w:color w:val="231F20"/>
          <w:sz w:val="20"/>
          <w:szCs w:val="20"/>
        </w:rPr>
        <w:t>ando con la línea de la presencia del gobierno en el desarrollo del transporte de mercancía se examina el Plan de Desarrollo Municipal que presenta un panorama futuro de estrategias para el mejoramiento de la movilidad dentro del área, con el fin de direcc</w:t>
      </w:r>
      <w:r>
        <w:rPr>
          <w:color w:val="231F20"/>
          <w:sz w:val="20"/>
          <w:szCs w:val="20"/>
        </w:rPr>
        <w:t xml:space="preserve">ionar la metodología del estudio de movimiento de carga en territorios con estás. En una de las propuestas para la mejora del sistema de transporte la </w:t>
      </w:r>
      <w:r>
        <w:rPr>
          <w:color w:val="440AE6"/>
          <w:sz w:val="20"/>
          <w:szCs w:val="20"/>
        </w:rPr>
        <w:t xml:space="preserve">Alcaldía de Bucaramanga (2020) </w:t>
      </w:r>
      <w:r>
        <w:rPr>
          <w:color w:val="231F20"/>
          <w:sz w:val="20"/>
          <w:szCs w:val="20"/>
        </w:rPr>
        <w:t>manifiesta que lo que buscan con uno de los programas creados es: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Entender</w:t>
      </w:r>
      <w:r>
        <w:rPr>
          <w:color w:val="231F20"/>
          <w:sz w:val="20"/>
          <w:szCs w:val="20"/>
        </w:rPr>
        <w:t xml:space="preserve"> la infraestructura del transporte, no como un conjunto de obras para los vehículos, sino como proyectos integrales para mejorar la calidad de vida de los ciudadanos, donde se desarrollan simultáneamente los corredores verdes, con senderos peatonales y cic</w:t>
      </w:r>
      <w:r>
        <w:rPr>
          <w:color w:val="231F20"/>
          <w:sz w:val="20"/>
          <w:szCs w:val="20"/>
        </w:rPr>
        <w:t>lo rutas, obras de infraestructura vial. Además, se entiende que cada infraestructura de transporte cumple un propósito y que, por lo tanto, es necesario involucrar a los ciudadanos, los gremios, la academia buscando alternativas de solución a las necesida</w:t>
      </w:r>
      <w:r>
        <w:rPr>
          <w:color w:val="231F20"/>
          <w:sz w:val="20"/>
          <w:szCs w:val="20"/>
        </w:rPr>
        <w:t>des prioritarias, a través de la estructuración de proyectos, gestión de recursos y ejecución de estos de la mano con las entidades territoriales de escala nacional, regional y local públicas o privadas.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De donde se puede resaltar la mención de la academia</w:t>
      </w:r>
      <w:r>
        <w:rPr>
          <w:color w:val="231F20"/>
          <w:sz w:val="20"/>
          <w:szCs w:val="20"/>
        </w:rPr>
        <w:t xml:space="preserve"> como uno de los involucrados. Esto complementa el documento CONPES de Política Nacional Logística, donde se plantea un componente institucional que incluya la conformación de instancias de coordinación entre sector privado, público y academia, como el cas</w:t>
      </w:r>
      <w:r>
        <w:rPr>
          <w:color w:val="231F20"/>
          <w:sz w:val="20"/>
          <w:szCs w:val="20"/>
        </w:rPr>
        <w:t xml:space="preserve">o de la red logística urbana de Bogotá, que implementen proyectos para la mejora en el desempeño logístico urbano </w:t>
      </w:r>
      <w:r>
        <w:rPr>
          <w:color w:val="440AE6"/>
          <w:sz w:val="20"/>
          <w:szCs w:val="20"/>
        </w:rPr>
        <w:t xml:space="preserve">(Consejo Nacional De Política Económica Y Social, 2020). </w:t>
      </w:r>
      <w:r>
        <w:rPr>
          <w:color w:val="231F20"/>
          <w:sz w:val="20"/>
          <w:szCs w:val="20"/>
        </w:rPr>
        <w:t xml:space="preserve">La presencia de la academia en la articulación de </w:t>
      </w:r>
      <w:r>
        <w:rPr>
          <w:color w:val="231F20"/>
          <w:sz w:val="20"/>
          <w:szCs w:val="20"/>
        </w:rPr>
        <w:lastRenderedPageBreak/>
        <w:t>metodologías para el desarrollo log</w:t>
      </w:r>
      <w:r>
        <w:rPr>
          <w:color w:val="231F20"/>
          <w:sz w:val="20"/>
          <w:szCs w:val="20"/>
        </w:rPr>
        <w:t>ístico de Colombia ratifica la importancia de esta para el crecimiento de la economía.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Ejemplo de esto, la Universidad de La Sabana (2021) que tiene el Observatorio de Movimiento de Carga de larga, media y corta distancia el cual hace de espacio colaborati</w:t>
      </w:r>
      <w:r>
        <w:rPr>
          <w:color w:val="231F20"/>
          <w:sz w:val="20"/>
          <w:szCs w:val="20"/>
        </w:rPr>
        <w:t>vo para los actores de la cadena de suministro, que combina distintas soluciones tecnológicas de logística 4.0, y el cual, por medio de la recopilación permanente, sistemática, agregada y anonimizada de la información sobre el movimiento de carga, desde el</w:t>
      </w:r>
      <w:r>
        <w:rPr>
          <w:color w:val="231F20"/>
          <w:sz w:val="20"/>
          <w:szCs w:val="20"/>
        </w:rPr>
        <w:t xml:space="preserve"> origen hasta el destino, permite comprender mejor las tendencias, los recorridos y las características de la operación, a fin de orientar la toma de decisiones en la política pública logística, la movilidad, el medio ambiente, la eficiencia del transporte</w:t>
      </w:r>
      <w:r>
        <w:rPr>
          <w:color w:val="231F20"/>
          <w:sz w:val="20"/>
          <w:szCs w:val="20"/>
        </w:rPr>
        <w:t xml:space="preserve"> y la productividad en Colombia.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Otro ejemplo donde se destaca la academia es la Universidad Nacional la cual realizó un análisis del transporte de carga en Colombia, el cual buscaba identificar las principales problemáticas y brindar recomendaciones basad</w:t>
      </w:r>
      <w:r>
        <w:rPr>
          <w:color w:val="231F20"/>
          <w:sz w:val="20"/>
          <w:szCs w:val="20"/>
        </w:rPr>
        <w:t xml:space="preserve">o en el estudio realizado a cada uno de los sistemas de transporte. Los puntos clave de la problemática son de acuerdo con </w:t>
      </w:r>
      <w:r>
        <w:rPr>
          <w:color w:val="440AE6"/>
          <w:sz w:val="20"/>
          <w:szCs w:val="20"/>
        </w:rPr>
        <w:t>Rodríguez (2013):</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1.  </w:t>
      </w:r>
      <w:r>
        <w:rPr>
          <w:color w:val="231F20"/>
          <w:sz w:val="20"/>
          <w:szCs w:val="20"/>
        </w:rPr>
        <w:tab/>
        <w:t>Los altos costos de transporte.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2.  </w:t>
      </w:r>
      <w:r>
        <w:rPr>
          <w:color w:val="231F20"/>
          <w:sz w:val="20"/>
          <w:szCs w:val="20"/>
        </w:rPr>
        <w:tab/>
        <w:t>El rezago en la infraestructura de transporte.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3.  </w:t>
      </w:r>
      <w:r>
        <w:rPr>
          <w:color w:val="231F20"/>
          <w:sz w:val="20"/>
          <w:szCs w:val="20"/>
        </w:rPr>
        <w:tab/>
        <w:t>Incumplimiento de las</w:t>
      </w:r>
      <w:r>
        <w:rPr>
          <w:color w:val="231F20"/>
          <w:sz w:val="20"/>
          <w:szCs w:val="20"/>
        </w:rPr>
        <w:t xml:space="preserve"> normas técnicas.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4.  </w:t>
      </w:r>
      <w:r>
        <w:rPr>
          <w:color w:val="231F20"/>
          <w:sz w:val="20"/>
          <w:szCs w:val="20"/>
        </w:rPr>
        <w:tab/>
        <w:t>Baja inversión en infraestructura vial.</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5.  </w:t>
      </w:r>
      <w:r>
        <w:rPr>
          <w:color w:val="231F20"/>
          <w:sz w:val="20"/>
          <w:szCs w:val="20"/>
        </w:rPr>
        <w:tab/>
        <w:t>Costos de energía y gas.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6.  </w:t>
      </w:r>
      <w:r>
        <w:rPr>
          <w:color w:val="231F20"/>
          <w:sz w:val="20"/>
          <w:szCs w:val="20"/>
        </w:rPr>
        <w:tab/>
        <w:t>No hay regulación integral en Colombia.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Y plantea diferentes soluciones como la inversión, la mejora de la infraestructura, etc.</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Realizar estudios de carga permite conocer la carga transportada, los modos de transporte, actividades de cargue-descargue así mismo se pretende vincular el uso de tecnología para el mejoramiento de la movilidad analizando los planes de movilidad desarroll</w:t>
      </w:r>
      <w:r>
        <w:rPr>
          <w:color w:val="231F20"/>
          <w:sz w:val="20"/>
          <w:szCs w:val="20"/>
        </w:rPr>
        <w:t>ados en otras ciudades donde se implementen innovaciones para solucionar las problemáticas que afectan el transporte de carga.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En términos más generales, el objetivo de un estudio de carga es conocer cómo es el transporte de carga en la región, en particular, el origen y destino en términos de viajes y de cantidad transportada, las operaciones de cargue y descargue, prácticas actu</w:t>
      </w:r>
      <w:r>
        <w:rPr>
          <w:color w:val="231F20"/>
          <w:sz w:val="20"/>
          <w:szCs w:val="20"/>
        </w:rPr>
        <w:t xml:space="preserve">ales de la actividad </w:t>
      </w:r>
      <w:proofErr w:type="gramStart"/>
      <w:r>
        <w:rPr>
          <w:color w:val="231F20"/>
          <w:sz w:val="20"/>
          <w:szCs w:val="20"/>
        </w:rPr>
        <w:t>y</w:t>
      </w:r>
      <w:proofErr w:type="gramEnd"/>
      <w:r>
        <w:rPr>
          <w:color w:val="231F20"/>
          <w:sz w:val="20"/>
          <w:szCs w:val="20"/>
        </w:rPr>
        <w:t xml:space="preserve"> además, identificar algunas iniciativas de mejoramiento que podrían implementarse en la región (Metropolitana, 2017). Así como se hizo en el Área Metropolitana del Valle de </w:t>
      </w:r>
      <w:proofErr w:type="spellStart"/>
      <w:r>
        <w:rPr>
          <w:color w:val="231F20"/>
          <w:sz w:val="20"/>
          <w:szCs w:val="20"/>
        </w:rPr>
        <w:t>Aburrá</w:t>
      </w:r>
      <w:proofErr w:type="spellEnd"/>
      <w:r>
        <w:rPr>
          <w:color w:val="231F20"/>
          <w:sz w:val="20"/>
          <w:szCs w:val="20"/>
        </w:rPr>
        <w:t>, donde la Universidad Nacional se unió en colaboració</w:t>
      </w:r>
      <w:r>
        <w:rPr>
          <w:color w:val="231F20"/>
          <w:sz w:val="20"/>
          <w:szCs w:val="20"/>
        </w:rPr>
        <w:t xml:space="preserve">n con el Valle de </w:t>
      </w:r>
      <w:proofErr w:type="spellStart"/>
      <w:r>
        <w:rPr>
          <w:color w:val="231F20"/>
          <w:sz w:val="20"/>
          <w:szCs w:val="20"/>
        </w:rPr>
        <w:t>Aburrá</w:t>
      </w:r>
      <w:proofErr w:type="spellEnd"/>
      <w:r>
        <w:rPr>
          <w:color w:val="231F20"/>
          <w:sz w:val="20"/>
          <w:szCs w:val="20"/>
        </w:rPr>
        <w:t>.</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Finalmente, tras reconocer la importancia del transporte de carga en todas las ciudades, analiza las iniciativas aplicadas a nivel mundial y cuáles pueden ser implementadas en el Valle de </w:t>
      </w:r>
      <w:proofErr w:type="spellStart"/>
      <w:r>
        <w:rPr>
          <w:color w:val="231F20"/>
          <w:sz w:val="20"/>
          <w:szCs w:val="20"/>
        </w:rPr>
        <w:t>Aburrá</w:t>
      </w:r>
      <w:proofErr w:type="spellEnd"/>
      <w:r>
        <w:rPr>
          <w:color w:val="231F20"/>
          <w:sz w:val="20"/>
          <w:szCs w:val="20"/>
        </w:rPr>
        <w:t xml:space="preserve"> teniendo en cuenta los estudios y a</w:t>
      </w:r>
      <w:r>
        <w:rPr>
          <w:color w:val="231F20"/>
          <w:sz w:val="20"/>
          <w:szCs w:val="20"/>
        </w:rPr>
        <w:t xml:space="preserve">nálisis realizados previamente.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Los principales hallazgos obtenidos por el </w:t>
      </w:r>
      <w:r>
        <w:rPr>
          <w:color w:val="440AE6"/>
          <w:sz w:val="20"/>
          <w:szCs w:val="20"/>
        </w:rPr>
        <w:t xml:space="preserve">Área Metropolitana del Valle de </w:t>
      </w:r>
      <w:proofErr w:type="spellStart"/>
      <w:r>
        <w:rPr>
          <w:color w:val="440AE6"/>
          <w:sz w:val="20"/>
          <w:szCs w:val="20"/>
        </w:rPr>
        <w:t>Aburrá</w:t>
      </w:r>
      <w:proofErr w:type="spellEnd"/>
      <w:r>
        <w:rPr>
          <w:color w:val="440AE6"/>
          <w:sz w:val="20"/>
          <w:szCs w:val="20"/>
        </w:rPr>
        <w:t xml:space="preserve"> (2017</w:t>
      </w:r>
      <w:r>
        <w:rPr>
          <w:color w:val="231F20"/>
          <w:sz w:val="20"/>
          <w:szCs w:val="20"/>
        </w:rPr>
        <w:t>) son las siguientes: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Para la reducción de los tiempos de cargue-descargue el uso de un equipo mecánico genera mejores resultados que ha</w:t>
      </w:r>
      <w:r>
        <w:rPr>
          <w:color w:val="231F20"/>
          <w:sz w:val="20"/>
          <w:szCs w:val="20"/>
        </w:rPr>
        <w:t>cerlo con un equipo manual.</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Las iniciativas deben corresponder a 5 áreas </w:t>
      </w:r>
      <w:r>
        <w:rPr>
          <w:color w:val="231F20"/>
          <w:sz w:val="20"/>
          <w:szCs w:val="20"/>
        </w:rPr>
        <w:lastRenderedPageBreak/>
        <w:t>estratégicas, las cuales son: estrategias relacionadas con vehículos de carga, gestión de áreas de parqueo y cargue/descargue en áreas de estacionamientos, gestión de tarificación, in</w:t>
      </w:r>
      <w:r>
        <w:rPr>
          <w:color w:val="231F20"/>
          <w:sz w:val="20"/>
          <w:szCs w:val="20"/>
        </w:rPr>
        <w:t>centivos e impuestos, gestión de la demanda y usos del suelo, vinculación de actores de interés. Y deben ser implementadas a través de pruebas piloto.</w:t>
      </w:r>
    </w:p>
    <w:p w:rsidR="00BF7DF3" w:rsidRDefault="009709B5">
      <w:pPr>
        <w:numPr>
          <w:ilvl w:val="0"/>
          <w:numId w:val="4"/>
        </w:numPr>
        <w:pBdr>
          <w:top w:val="nil"/>
          <w:left w:val="nil"/>
          <w:bottom w:val="nil"/>
          <w:right w:val="nil"/>
          <w:between w:val="nil"/>
        </w:pBdr>
        <w:ind w:right="38"/>
        <w:jc w:val="both"/>
        <w:rPr>
          <w:color w:val="231F20"/>
          <w:sz w:val="20"/>
          <w:szCs w:val="20"/>
        </w:rPr>
      </w:pPr>
      <w:r>
        <w:rPr>
          <w:color w:val="231F20"/>
          <w:sz w:val="20"/>
          <w:szCs w:val="20"/>
        </w:rPr>
        <w:t>El transporte de carga debe ser tratado como una prioridad en la movilidad de los municipios.</w:t>
      </w:r>
    </w:p>
    <w:p w:rsidR="00BF7DF3" w:rsidRDefault="009709B5">
      <w:pPr>
        <w:numPr>
          <w:ilvl w:val="0"/>
          <w:numId w:val="4"/>
        </w:numPr>
        <w:pBdr>
          <w:top w:val="nil"/>
          <w:left w:val="nil"/>
          <w:bottom w:val="nil"/>
          <w:right w:val="nil"/>
          <w:between w:val="nil"/>
        </w:pBdr>
        <w:ind w:right="38"/>
        <w:jc w:val="both"/>
        <w:rPr>
          <w:color w:val="231F20"/>
          <w:sz w:val="20"/>
          <w:szCs w:val="20"/>
        </w:rPr>
      </w:pPr>
      <w:r>
        <w:rPr>
          <w:color w:val="231F20"/>
          <w:sz w:val="20"/>
          <w:szCs w:val="20"/>
        </w:rPr>
        <w:t>Tener una f</w:t>
      </w:r>
      <w:r>
        <w:rPr>
          <w:color w:val="231F20"/>
          <w:sz w:val="20"/>
          <w:szCs w:val="20"/>
        </w:rPr>
        <w:t>ranja horaria para las actividades de cargue-descargue.</w:t>
      </w:r>
    </w:p>
    <w:p w:rsidR="00BF7DF3" w:rsidRDefault="009709B5">
      <w:pPr>
        <w:numPr>
          <w:ilvl w:val="0"/>
          <w:numId w:val="4"/>
        </w:numPr>
        <w:pBdr>
          <w:top w:val="nil"/>
          <w:left w:val="nil"/>
          <w:bottom w:val="nil"/>
          <w:right w:val="nil"/>
          <w:between w:val="nil"/>
        </w:pBdr>
        <w:ind w:right="38"/>
        <w:jc w:val="both"/>
        <w:rPr>
          <w:color w:val="231F20"/>
          <w:sz w:val="20"/>
          <w:szCs w:val="20"/>
        </w:rPr>
      </w:pPr>
      <w:r>
        <w:rPr>
          <w:color w:val="231F20"/>
          <w:sz w:val="20"/>
          <w:szCs w:val="20"/>
        </w:rPr>
        <w:t xml:space="preserve">Ampliar la legislación y normatividad que tiene el Área Metropolitana del Valle de </w:t>
      </w:r>
      <w:proofErr w:type="spellStart"/>
      <w:r>
        <w:rPr>
          <w:color w:val="231F20"/>
          <w:sz w:val="20"/>
          <w:szCs w:val="20"/>
        </w:rPr>
        <w:t>Aburrá</w:t>
      </w:r>
      <w:proofErr w:type="spellEnd"/>
      <w:r>
        <w:rPr>
          <w:color w:val="231F20"/>
          <w:sz w:val="20"/>
          <w:szCs w:val="20"/>
        </w:rPr>
        <w:t xml:space="preserve"> en cuanto a temas de movilidad.</w:t>
      </w:r>
    </w:p>
    <w:p w:rsidR="00BF7DF3" w:rsidRDefault="009709B5">
      <w:pPr>
        <w:numPr>
          <w:ilvl w:val="0"/>
          <w:numId w:val="4"/>
        </w:numPr>
        <w:pBdr>
          <w:top w:val="nil"/>
          <w:left w:val="nil"/>
          <w:bottom w:val="nil"/>
          <w:right w:val="nil"/>
          <w:between w:val="nil"/>
        </w:pBdr>
        <w:ind w:right="38"/>
        <w:jc w:val="both"/>
        <w:rPr>
          <w:color w:val="231F20"/>
          <w:sz w:val="20"/>
          <w:szCs w:val="20"/>
        </w:rPr>
      </w:pPr>
      <w:r>
        <w:rPr>
          <w:color w:val="231F20"/>
          <w:sz w:val="20"/>
          <w:szCs w:val="20"/>
        </w:rPr>
        <w:t>Definición de estrategias para la creación de un Plan de Inversión en infraest</w:t>
      </w:r>
      <w:r>
        <w:rPr>
          <w:color w:val="231F20"/>
          <w:sz w:val="20"/>
          <w:szCs w:val="20"/>
        </w:rPr>
        <w:t>ructura y desarrollo vial, centros logísticos, corredores logísticos, entre otros (Plan de movilidad de carga y logística).</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Se debe agregar también que el movimiento de carga no sólo tiene incidencia en la economía de un país, sino que también impacta en </w:t>
      </w:r>
      <w:r>
        <w:rPr>
          <w:color w:val="231F20"/>
          <w:sz w:val="20"/>
          <w:szCs w:val="20"/>
        </w:rPr>
        <w:t xml:space="preserve">el medio ambiente. Autores como </w:t>
      </w:r>
      <w:proofErr w:type="spellStart"/>
      <w:r>
        <w:rPr>
          <w:color w:val="440AE6"/>
          <w:sz w:val="20"/>
          <w:szCs w:val="20"/>
        </w:rPr>
        <w:t>Ambrosino</w:t>
      </w:r>
      <w:proofErr w:type="spellEnd"/>
      <w:r>
        <w:rPr>
          <w:color w:val="440AE6"/>
          <w:sz w:val="20"/>
          <w:szCs w:val="20"/>
        </w:rPr>
        <w:t xml:space="preserve"> (2015)</w:t>
      </w:r>
      <w:r>
        <w:rPr>
          <w:color w:val="231F20"/>
          <w:sz w:val="20"/>
          <w:szCs w:val="20"/>
        </w:rPr>
        <w:t xml:space="preserve">, </w:t>
      </w:r>
      <w:r>
        <w:rPr>
          <w:color w:val="440AE6"/>
          <w:sz w:val="20"/>
          <w:szCs w:val="20"/>
        </w:rPr>
        <w:t xml:space="preserve">Agencia Europea del Medioambiente (2020) y Mozos et Al. (2018) </w:t>
      </w:r>
      <w:r>
        <w:rPr>
          <w:color w:val="231F20"/>
          <w:sz w:val="20"/>
          <w:szCs w:val="20"/>
        </w:rPr>
        <w:t xml:space="preserve">coinciden en que el transporte urbano es un emisor importante de gases efecto invernadero que provocan la contaminación ambiental además de la </w:t>
      </w:r>
      <w:r>
        <w:rPr>
          <w:color w:val="231F20"/>
          <w:sz w:val="20"/>
          <w:szCs w:val="20"/>
        </w:rPr>
        <w:t>contaminación auditiva. Y es que la OMS indica que cada año la exposición a la contaminación del aire causa 7 millones de muertes prematuras y provoca la pérdida de otros tantos más millones de años de vida saludable. Por esto, el cambio climático y la con</w:t>
      </w:r>
      <w:r>
        <w:rPr>
          <w:color w:val="231F20"/>
          <w:sz w:val="20"/>
          <w:szCs w:val="20"/>
        </w:rPr>
        <w:t>taminación del aire son unas de las mayores amenazas para la salud humana que se deben reducir.</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La Agencia Europea de Medioambiente (2020) menciona que se trata de retos medioambientales relacionados con las emisiones de gases de efecto invernadero y conta</w:t>
      </w:r>
      <w:r>
        <w:rPr>
          <w:color w:val="231F20"/>
          <w:sz w:val="20"/>
          <w:szCs w:val="20"/>
        </w:rPr>
        <w:t>minantes atmosféricos, la contaminación acústica y la ocupación del suelo. Pero, por otro lado, surgen desafíos más amplios, incluidos los accidentes de tránsito, la congestión y los impactos en la actividad física. La Unión Europea a través del Libro Blan</w:t>
      </w:r>
      <w:r>
        <w:rPr>
          <w:color w:val="231F20"/>
          <w:sz w:val="20"/>
          <w:szCs w:val="20"/>
        </w:rPr>
        <w:t xml:space="preserve">co, habló del transporte urbano limpio y una movilidad urbana integrada donde algunos de sus objetivos están centrados específicamente en movilidad urbana.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La contaminación acústica genera un impacto negativo en la sociedad, ya que la exposición a altos </w:t>
      </w:r>
      <w:r>
        <w:rPr>
          <w:color w:val="231F20"/>
          <w:sz w:val="20"/>
          <w:szCs w:val="20"/>
        </w:rPr>
        <w:t>niveles de ruido afecta la calidad de vida. Según la Agencia Europea de Medio Ambiente, la exposición prolongada a altos niveles de ruido es una de las causas que provocan 48 000 nuevos casos de cardiopatía isquémica al año, así como 12 000 muertes prematu</w:t>
      </w:r>
      <w:r>
        <w:rPr>
          <w:color w:val="231F20"/>
          <w:sz w:val="20"/>
          <w:szCs w:val="20"/>
        </w:rPr>
        <w:t>ras. Sin embargo, estos efectos nocivos se pueden reducir mediante la aplicación de diferentes medidas como asfalto que reduce el ruido, llantas especializadas, etc., diferentes políticas y medidas que controlen el ruido.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Por esto surge la necesidad de des</w:t>
      </w:r>
      <w:r>
        <w:rPr>
          <w:color w:val="231F20"/>
          <w:sz w:val="20"/>
          <w:szCs w:val="20"/>
        </w:rPr>
        <w:t xml:space="preserve">arrollar un sistema de transporte urbano sostenible mientras se optimiza la eficiencia logística urbana considerando aspectos de mercado y ambientales. Esto significa que es necesario </w:t>
      </w:r>
      <w:r>
        <w:rPr>
          <w:color w:val="231F20"/>
          <w:sz w:val="20"/>
          <w:szCs w:val="20"/>
        </w:rPr>
        <w:lastRenderedPageBreak/>
        <w:t>abordar diferentes problemas adoptando un enfoque multidisciplinario, si</w:t>
      </w:r>
      <w:r>
        <w:rPr>
          <w:color w:val="231F20"/>
          <w:sz w:val="20"/>
          <w:szCs w:val="20"/>
        </w:rPr>
        <w:t xml:space="preserve">empre teniendo en cuenta que la logística está estrictamente relacionada con la vida general de la ciudad y el crecimiento económico </w:t>
      </w:r>
      <w:r>
        <w:rPr>
          <w:color w:val="440AE6"/>
          <w:sz w:val="20"/>
          <w:szCs w:val="20"/>
        </w:rPr>
        <w:t>(</w:t>
      </w:r>
      <w:proofErr w:type="spellStart"/>
      <w:r>
        <w:rPr>
          <w:color w:val="440AE6"/>
          <w:sz w:val="20"/>
          <w:szCs w:val="20"/>
        </w:rPr>
        <w:t>Ambrosino</w:t>
      </w:r>
      <w:proofErr w:type="spellEnd"/>
      <w:r>
        <w:rPr>
          <w:color w:val="440AE6"/>
          <w:sz w:val="20"/>
          <w:szCs w:val="20"/>
        </w:rPr>
        <w:t>, 2015</w:t>
      </w:r>
      <w:r>
        <w:rPr>
          <w:color w:val="231F20"/>
          <w:sz w:val="20"/>
          <w:szCs w:val="20"/>
        </w:rPr>
        <w:t>).</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Uno de los enfoques son las opciones de “primera/última/única milla” (opciones de milla F/L/O), permiten</w:t>
      </w:r>
      <w:r>
        <w:rPr>
          <w:color w:val="231F20"/>
          <w:sz w:val="20"/>
          <w:szCs w:val="20"/>
        </w:rPr>
        <w:t xml:space="preserve"> que las personas o mercancías viajen entre su punto de partida (origen) y el centro de origen y/o entre el centro final y su destino. Al mismo tiempo, hacen que el sistema de transporte sea lo más eficiente posible desde el punto de vista financiero, de u</w:t>
      </w:r>
      <w:r>
        <w:rPr>
          <w:color w:val="231F20"/>
          <w:sz w:val="20"/>
          <w:szCs w:val="20"/>
        </w:rPr>
        <w:t xml:space="preserve">so de recursos y ambiental, al tiempo que cumplen con los requisitos de conveniencia (Agencia Europea </w:t>
      </w:r>
      <w:proofErr w:type="gramStart"/>
      <w:r>
        <w:rPr>
          <w:color w:val="231F20"/>
          <w:sz w:val="20"/>
          <w:szCs w:val="20"/>
        </w:rPr>
        <w:t>de  Medioambiente</w:t>
      </w:r>
      <w:proofErr w:type="gramEnd"/>
      <w:r>
        <w:rPr>
          <w:color w:val="231F20"/>
          <w:sz w:val="20"/>
          <w:szCs w:val="20"/>
        </w:rPr>
        <w:t>, 2020). La encuesta Europea de Calidad de Vida concluyó que ha habido un aumento de conciencia por parte de los ciudadanos sobre la impo</w:t>
      </w:r>
      <w:r>
        <w:rPr>
          <w:color w:val="231F20"/>
          <w:sz w:val="20"/>
          <w:szCs w:val="20"/>
        </w:rPr>
        <w:t>rtancia de disminuir la contaminación del aire, en este sentido se vuelve vital hacer más atractivas las opciones de millas F/L/O y así lograr un apoyo mayor a este transporte.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Es importante mencionar además que la población en general escoge opciones de m</w:t>
      </w:r>
      <w:r>
        <w:rPr>
          <w:color w:val="231F20"/>
          <w:sz w:val="20"/>
          <w:szCs w:val="20"/>
        </w:rPr>
        <w:t>illas F/L/O si estas brindan una buena experiencia al usuario provocando que continúe usando ese tipo de transporte, así es como se vuelve sostenible.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La creación de Planes de Movilidad Urbana Sostenible (SUMP) es otra de las estrategias. </w:t>
      </w:r>
      <w:proofErr w:type="spellStart"/>
      <w:r>
        <w:rPr>
          <w:color w:val="440AE6"/>
          <w:sz w:val="20"/>
          <w:szCs w:val="20"/>
        </w:rPr>
        <w:t>Ambrosino</w:t>
      </w:r>
      <w:proofErr w:type="spellEnd"/>
      <w:r>
        <w:rPr>
          <w:color w:val="440AE6"/>
          <w:sz w:val="20"/>
          <w:szCs w:val="20"/>
        </w:rPr>
        <w:t xml:space="preserve"> (2015)</w:t>
      </w:r>
      <w:r>
        <w:rPr>
          <w:color w:val="231F20"/>
          <w:sz w:val="20"/>
          <w:szCs w:val="20"/>
        </w:rPr>
        <w:t xml:space="preserve"> plantea que estos tienen como objetivo proporcionar directrices realistas y sencillas para las partes interesadas y los técnicos de la ciudad, enfocado en la optimización de los procesos logísticos urbanos de carga para reducir el consumo de energía y los</w:t>
      </w:r>
      <w:r>
        <w:rPr>
          <w:color w:val="231F20"/>
          <w:sz w:val="20"/>
          <w:szCs w:val="20"/>
        </w:rPr>
        <w:t xml:space="preserve"> impactos ambientales relacionados dando su sostenibilidad económica.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 Estos planes siguen una metodología específica la cual se da en 10 pasos, según </w:t>
      </w:r>
      <w:proofErr w:type="spellStart"/>
      <w:r>
        <w:rPr>
          <w:color w:val="440AE6"/>
          <w:sz w:val="20"/>
          <w:szCs w:val="20"/>
        </w:rPr>
        <w:t>Ambrosino</w:t>
      </w:r>
      <w:proofErr w:type="spellEnd"/>
      <w:r>
        <w:rPr>
          <w:color w:val="440AE6"/>
          <w:sz w:val="20"/>
          <w:szCs w:val="20"/>
        </w:rPr>
        <w:t xml:space="preserve"> (2015)</w:t>
      </w:r>
      <w:r>
        <w:rPr>
          <w:color w:val="231F20"/>
          <w:sz w:val="20"/>
          <w:szCs w:val="20"/>
        </w:rPr>
        <w:t>, estos son:</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0.  </w:t>
      </w:r>
      <w:r>
        <w:rPr>
          <w:color w:val="231F20"/>
          <w:sz w:val="20"/>
          <w:szCs w:val="20"/>
        </w:rPr>
        <w:tab/>
        <w:t>Establecer el objetivo y la meta.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1.  </w:t>
      </w:r>
      <w:r>
        <w:rPr>
          <w:color w:val="231F20"/>
          <w:sz w:val="20"/>
          <w:szCs w:val="20"/>
        </w:rPr>
        <w:tab/>
        <w:t xml:space="preserve">Escenario de movilidad urbana y </w:t>
      </w:r>
      <w:r>
        <w:rPr>
          <w:color w:val="231F20"/>
          <w:sz w:val="20"/>
          <w:szCs w:val="20"/>
        </w:rPr>
        <w:t>prioridades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2.  </w:t>
      </w:r>
      <w:r>
        <w:rPr>
          <w:color w:val="231F20"/>
          <w:sz w:val="20"/>
          <w:szCs w:val="20"/>
        </w:rPr>
        <w:tab/>
        <w:t>Analizar el contexto logístico y procesos.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3.  </w:t>
      </w:r>
      <w:r>
        <w:rPr>
          <w:color w:val="231F20"/>
          <w:sz w:val="20"/>
          <w:szCs w:val="20"/>
        </w:rPr>
        <w:tab/>
        <w:t>Establecimiento de requisitos y logística base.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4.  </w:t>
      </w:r>
      <w:r>
        <w:rPr>
          <w:color w:val="231F20"/>
          <w:sz w:val="20"/>
          <w:szCs w:val="20"/>
        </w:rPr>
        <w:tab/>
        <w:t>Medidas y servicios identificados vs. Requisitos.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5.  </w:t>
      </w:r>
      <w:r>
        <w:rPr>
          <w:color w:val="231F20"/>
          <w:sz w:val="20"/>
          <w:szCs w:val="20"/>
        </w:rPr>
        <w:tab/>
        <w:t>Diseño del servicio.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6.  </w:t>
      </w:r>
      <w:r>
        <w:rPr>
          <w:color w:val="231F20"/>
          <w:sz w:val="20"/>
          <w:szCs w:val="20"/>
        </w:rPr>
        <w:tab/>
        <w:t>Organización, modelo de negocio y contratación.</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7.  </w:t>
      </w:r>
      <w:r>
        <w:rPr>
          <w:color w:val="231F20"/>
          <w:sz w:val="20"/>
          <w:szCs w:val="20"/>
        </w:rPr>
        <w:tab/>
      </w:r>
      <w:r>
        <w:rPr>
          <w:color w:val="231F20"/>
          <w:sz w:val="20"/>
          <w:szCs w:val="20"/>
        </w:rPr>
        <w:t>Diagnóstico y evaluación de impactos.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8.  </w:t>
      </w:r>
      <w:r>
        <w:rPr>
          <w:color w:val="231F20"/>
          <w:sz w:val="20"/>
          <w:szCs w:val="20"/>
        </w:rPr>
        <w:tab/>
        <w:t>Hoja de ruta para adoptar el SULP.</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9.  </w:t>
      </w:r>
      <w:r>
        <w:rPr>
          <w:color w:val="231F20"/>
          <w:sz w:val="20"/>
          <w:szCs w:val="20"/>
        </w:rPr>
        <w:tab/>
        <w:t>Responsabilidades e implementación/ plan de seguimiento.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10.  Plan de Promoción y Comunicación.</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Uno de los países que ya implementó esta metodología es Reino Unido, más espe</w:t>
      </w:r>
      <w:r>
        <w:rPr>
          <w:color w:val="231F20"/>
          <w:sz w:val="20"/>
          <w:szCs w:val="20"/>
        </w:rPr>
        <w:t>cíficamente la ciudad de Dundee considerada como líder mundial en ciencias de la vida. De acuerdo con ENCLOSE (2014) ya se han implementado medidas para abordar el transporte de mercancías y la logística en Dundee. Estos han tenido como objetivo resolver p</w:t>
      </w:r>
      <w:r>
        <w:rPr>
          <w:color w:val="231F20"/>
          <w:sz w:val="20"/>
          <w:szCs w:val="20"/>
        </w:rPr>
        <w:t>roblemas de flujo de tráfico y seguridad, y preocupaciones ambientales específicas, principalmente la calidad del aire. El SULP tiene como objetivo aprovechar las iniciativas actuales para ampliar los objetivos para lograr una logística más eficiente desde</w:t>
      </w:r>
      <w:r>
        <w:rPr>
          <w:color w:val="231F20"/>
          <w:sz w:val="20"/>
          <w:szCs w:val="20"/>
        </w:rPr>
        <w:t xml:space="preserve"> el punto de vista </w:t>
      </w:r>
      <w:r>
        <w:rPr>
          <w:color w:val="231F20"/>
          <w:sz w:val="20"/>
          <w:szCs w:val="20"/>
        </w:rPr>
        <w:lastRenderedPageBreak/>
        <w:t>energético y las consiguientes reducciones en las emisiones de carbono relacionadas con el transporte de mercancías. Pero tiene una problemática relacionada con la calidad del aire y la logística, para esto plantea estrategias a corto, m</w:t>
      </w:r>
      <w:r>
        <w:rPr>
          <w:color w:val="231F20"/>
          <w:sz w:val="20"/>
          <w:szCs w:val="20"/>
        </w:rPr>
        <w:t>ediano y largo plazo, hasta más allá del año 2023.</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La página oficial de la ciudad de Dundee, en el seguimiento realizado a los indicadores de la calidad del aire en el año 2020 indica que se cumplieron con los objetivos que se tenían planteados.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El e-</w:t>
      </w:r>
      <w:proofErr w:type="spellStart"/>
      <w:r>
        <w:rPr>
          <w:color w:val="231F20"/>
          <w:sz w:val="20"/>
          <w:szCs w:val="20"/>
        </w:rPr>
        <w:t>comme</w:t>
      </w:r>
      <w:r>
        <w:rPr>
          <w:color w:val="231F20"/>
          <w:sz w:val="20"/>
          <w:szCs w:val="20"/>
        </w:rPr>
        <w:t>rce</w:t>
      </w:r>
      <w:proofErr w:type="spellEnd"/>
      <w:r>
        <w:rPr>
          <w:color w:val="231F20"/>
          <w:sz w:val="20"/>
          <w:szCs w:val="20"/>
        </w:rPr>
        <w:t xml:space="preserve"> también debe ser analizado debido a la relevancia que ha adquirido en los últimos años y la cual ha ido en aumento debido a la pandemia. Según </w:t>
      </w:r>
      <w:proofErr w:type="spellStart"/>
      <w:r>
        <w:rPr>
          <w:color w:val="440AE6"/>
          <w:sz w:val="20"/>
          <w:szCs w:val="20"/>
        </w:rPr>
        <w:t>Morganti</w:t>
      </w:r>
      <w:proofErr w:type="spellEnd"/>
      <w:r>
        <w:rPr>
          <w:color w:val="440AE6"/>
          <w:sz w:val="20"/>
          <w:szCs w:val="20"/>
        </w:rPr>
        <w:t xml:space="preserve">. Eleonora, </w:t>
      </w:r>
      <w:proofErr w:type="spellStart"/>
      <w:r>
        <w:rPr>
          <w:color w:val="440AE6"/>
          <w:sz w:val="20"/>
          <w:szCs w:val="20"/>
        </w:rPr>
        <w:t>Seidel</w:t>
      </w:r>
      <w:proofErr w:type="spellEnd"/>
      <w:r>
        <w:rPr>
          <w:color w:val="440AE6"/>
          <w:sz w:val="20"/>
          <w:szCs w:val="20"/>
        </w:rPr>
        <w:t xml:space="preserve">. </w:t>
      </w:r>
      <w:proofErr w:type="spellStart"/>
      <w:r>
        <w:rPr>
          <w:color w:val="440AE6"/>
          <w:sz w:val="20"/>
          <w:szCs w:val="20"/>
        </w:rPr>
        <w:t>Saskia</w:t>
      </w:r>
      <w:proofErr w:type="spellEnd"/>
      <w:r>
        <w:rPr>
          <w:color w:val="440AE6"/>
          <w:sz w:val="20"/>
          <w:szCs w:val="20"/>
        </w:rPr>
        <w:t xml:space="preserve">, </w:t>
      </w:r>
      <w:proofErr w:type="spellStart"/>
      <w:r>
        <w:rPr>
          <w:color w:val="440AE6"/>
          <w:sz w:val="20"/>
          <w:szCs w:val="20"/>
        </w:rPr>
        <w:t>Blanquart</w:t>
      </w:r>
      <w:proofErr w:type="spellEnd"/>
      <w:r>
        <w:rPr>
          <w:color w:val="440AE6"/>
          <w:sz w:val="20"/>
          <w:szCs w:val="20"/>
        </w:rPr>
        <w:t xml:space="preserve">. C, L. </w:t>
      </w:r>
      <w:proofErr w:type="spellStart"/>
      <w:r>
        <w:rPr>
          <w:color w:val="440AE6"/>
          <w:sz w:val="20"/>
          <w:szCs w:val="20"/>
        </w:rPr>
        <w:t>Dablanc</w:t>
      </w:r>
      <w:proofErr w:type="spellEnd"/>
      <w:r>
        <w:rPr>
          <w:color w:val="440AE6"/>
          <w:sz w:val="20"/>
          <w:szCs w:val="20"/>
        </w:rPr>
        <w:t>, B. Lenz (2014</w:t>
      </w:r>
      <w:r>
        <w:rPr>
          <w:color w:val="231F20"/>
          <w:sz w:val="20"/>
          <w:szCs w:val="20"/>
        </w:rPr>
        <w:t>).):</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La importancia de las entrega</w:t>
      </w:r>
      <w:r>
        <w:rPr>
          <w:color w:val="231F20"/>
          <w:sz w:val="20"/>
          <w:szCs w:val="20"/>
        </w:rPr>
        <w:t>s de última milla relacionadas con las ventas en línea ha sido advertida por las instituciones de la Unión Europea que desean promover un mercado libre de comercio electrónico. Las encuestas a consumidores y los análisis de mercado muestran que los servici</w:t>
      </w:r>
      <w:r>
        <w:rPr>
          <w:color w:val="231F20"/>
          <w:sz w:val="20"/>
          <w:szCs w:val="20"/>
        </w:rPr>
        <w:t>os de entrega ofrecidos por los minoristas electrónicos son uno de los factores fundamentales que influyen en la decisión del consumidor de comprar en ellos.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Los servicios de entrega han aumentado, así como las empresas que brindan este servicio, por lo qu</w:t>
      </w:r>
      <w:r>
        <w:rPr>
          <w:color w:val="231F20"/>
          <w:sz w:val="20"/>
          <w:szCs w:val="20"/>
        </w:rPr>
        <w:t xml:space="preserve">e la competencia de otras empresas y la importancia que tiene para el usuario un buen servicio de entrega ha aumentado la necesidad de reducir este coste. Para esto las empresas ya han iniciado diferentes estrategias que buscan lograr este objetivo.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Por o</w:t>
      </w:r>
      <w:r>
        <w:rPr>
          <w:color w:val="231F20"/>
          <w:sz w:val="20"/>
          <w:szCs w:val="20"/>
        </w:rPr>
        <w:t>tro lado, surge la duda si el e-</w:t>
      </w:r>
      <w:proofErr w:type="spellStart"/>
      <w:r>
        <w:rPr>
          <w:color w:val="231F20"/>
          <w:sz w:val="20"/>
          <w:szCs w:val="20"/>
        </w:rPr>
        <w:t>commerce</w:t>
      </w:r>
      <w:proofErr w:type="spellEnd"/>
      <w:r>
        <w:rPr>
          <w:color w:val="231F20"/>
          <w:sz w:val="20"/>
          <w:szCs w:val="20"/>
        </w:rPr>
        <w:t xml:space="preserve"> ha aumentado el transporte de distribución, según </w:t>
      </w:r>
      <w:proofErr w:type="spellStart"/>
      <w:r>
        <w:rPr>
          <w:color w:val="440AE6"/>
          <w:sz w:val="20"/>
          <w:szCs w:val="20"/>
        </w:rPr>
        <w:t>Pettersson</w:t>
      </w:r>
      <w:proofErr w:type="spellEnd"/>
      <w:r>
        <w:rPr>
          <w:color w:val="440AE6"/>
          <w:sz w:val="20"/>
          <w:szCs w:val="20"/>
        </w:rPr>
        <w:t xml:space="preserve"> (2018</w:t>
      </w:r>
      <w:r>
        <w:rPr>
          <w:color w:val="231F20"/>
          <w:sz w:val="20"/>
          <w:szCs w:val="20"/>
        </w:rPr>
        <w:t>): la literatura de investigación mostró que, al menos hasta ahora, no hay que el comercio electrónico haya reducido la movilidad individual, mientra</w:t>
      </w:r>
      <w:r>
        <w:rPr>
          <w:color w:val="231F20"/>
          <w:sz w:val="20"/>
          <w:szCs w:val="20"/>
        </w:rPr>
        <w:t xml:space="preserve">s que el transporte de distribución en las zonas urbanas ha aumentado como consecuencia del comercio electrónico.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Aunque se llegó a esta conclusión también se debe tener en cuenta lo que menciona </w:t>
      </w:r>
      <w:proofErr w:type="spellStart"/>
      <w:r>
        <w:rPr>
          <w:color w:val="440AE6"/>
          <w:sz w:val="20"/>
          <w:szCs w:val="20"/>
        </w:rPr>
        <w:t>Petterson</w:t>
      </w:r>
      <w:proofErr w:type="spellEnd"/>
      <w:r>
        <w:rPr>
          <w:color w:val="440AE6"/>
          <w:sz w:val="20"/>
          <w:szCs w:val="20"/>
        </w:rPr>
        <w:t xml:space="preserve"> (2018) </w:t>
      </w:r>
      <w:r>
        <w:rPr>
          <w:color w:val="231F20"/>
          <w:sz w:val="20"/>
          <w:szCs w:val="20"/>
        </w:rPr>
        <w:t>acerca de los efectos del e-</w:t>
      </w:r>
      <w:proofErr w:type="spellStart"/>
      <w:r>
        <w:rPr>
          <w:color w:val="231F20"/>
          <w:sz w:val="20"/>
          <w:szCs w:val="20"/>
        </w:rPr>
        <w:t>commerce</w:t>
      </w:r>
      <w:proofErr w:type="spellEnd"/>
      <w:r>
        <w:rPr>
          <w:color w:val="231F20"/>
          <w:sz w:val="20"/>
          <w:szCs w:val="20"/>
        </w:rPr>
        <w:t xml:space="preserve"> en lo</w:t>
      </w:r>
      <w:r>
        <w:rPr>
          <w:color w:val="231F20"/>
          <w:sz w:val="20"/>
          <w:szCs w:val="20"/>
        </w:rPr>
        <w:t>s desplazamientos: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La investigación académica, los documentos nacionales de planificación y los planificadores entrevistados están más o menos de acuerdo en que los efectos a corto y largo plazo del comercio electrónico son todavía muy inciertos, pero exis</w:t>
      </w:r>
      <w:r>
        <w:rPr>
          <w:color w:val="231F20"/>
          <w:sz w:val="20"/>
          <w:szCs w:val="20"/>
        </w:rPr>
        <w:t>te cierto grado de ilusión en los documentos de planificación local.</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Finalmente, a partir de la revisión de la literatura se puede concluir la importancia que tiene el transporte de carga en la economía de la ciudad y en la calidad de vida de las personas.</w:t>
      </w:r>
      <w:r>
        <w:rPr>
          <w:color w:val="231F20"/>
          <w:sz w:val="20"/>
          <w:szCs w:val="20"/>
        </w:rPr>
        <w:t xml:space="preserve"> Además, se puede observar que ya se están implementando estrategias que buscan solucionar los problemas que surgen debido a la alta concentración de personas en las ciudades. Bucaramanga también, ya ha comenzado a plantear proyectos que tienen como objeti</w:t>
      </w:r>
      <w:r>
        <w:rPr>
          <w:color w:val="231F20"/>
          <w:sz w:val="20"/>
          <w:szCs w:val="20"/>
        </w:rPr>
        <w:t>vo la mejora de la movilidad en la ciudad.</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numPr>
          <w:ilvl w:val="0"/>
          <w:numId w:val="1"/>
        </w:numPr>
        <w:pBdr>
          <w:top w:val="nil"/>
          <w:left w:val="nil"/>
          <w:bottom w:val="nil"/>
          <w:right w:val="nil"/>
          <w:between w:val="nil"/>
        </w:pBdr>
        <w:ind w:right="38"/>
        <w:jc w:val="both"/>
        <w:rPr>
          <w:b/>
          <w:color w:val="231F20"/>
          <w:sz w:val="20"/>
          <w:szCs w:val="20"/>
        </w:rPr>
      </w:pPr>
      <w:r>
        <w:rPr>
          <w:b/>
          <w:color w:val="231F20"/>
          <w:sz w:val="20"/>
          <w:szCs w:val="20"/>
        </w:rPr>
        <w:t>Resultados y discusión</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Cada ciudad tiene una geografía, población e historia diferente pero la mayoría de ellas comparten problemáticas muy similares que se pueden abordar a </w:t>
      </w:r>
      <w:r>
        <w:rPr>
          <w:color w:val="231F20"/>
          <w:sz w:val="20"/>
          <w:szCs w:val="20"/>
        </w:rPr>
        <w:lastRenderedPageBreak/>
        <w:t>través de planes de acción o metodologías parecidas. Por este motivo, a través de la revisión de literatu</w:t>
      </w:r>
      <w:r>
        <w:rPr>
          <w:color w:val="231F20"/>
          <w:sz w:val="20"/>
          <w:szCs w:val="20"/>
        </w:rPr>
        <w:t>ra científica, literatura gris y el posterior análisis de los hallazgos se buscó:</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Analizar el contexto a nivel mundial y a nivel del área metropolitana de Bucaramanga. Identificar la situación particular del área metropolitana de Bucaramanga y realizar un </w:t>
      </w:r>
      <w:r>
        <w:rPr>
          <w:color w:val="231F20"/>
          <w:sz w:val="20"/>
          <w:szCs w:val="20"/>
        </w:rPr>
        <w:t>diagnóstico a partir de ello. Conocer la metodología aplicada en diferentes ciudades del mundo de manera que se pueda concluir la mejor para Bucaramanga.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Los Planes Maestros de Movilidad Urbana (PMUS), generalmente tienen el análisis y diagnóstico previo r</w:t>
      </w:r>
      <w:r>
        <w:rPr>
          <w:color w:val="231F20"/>
          <w:sz w:val="20"/>
          <w:szCs w:val="20"/>
        </w:rPr>
        <w:t xml:space="preserve">ealizado de manera muy detallada pero no cuentan con un buen porcentaje de participación pública, la cual es muy importante para conocer más a fondo las necesidades y la condición de la ciudad. Por lo regular las medidas y recomendaciones que plantean los </w:t>
      </w:r>
      <w:r>
        <w:rPr>
          <w:color w:val="231F20"/>
          <w:sz w:val="20"/>
          <w:szCs w:val="20"/>
        </w:rPr>
        <w:t xml:space="preserve">PMUS según </w:t>
      </w:r>
      <w:r>
        <w:rPr>
          <w:color w:val="440AE6"/>
          <w:sz w:val="20"/>
          <w:szCs w:val="20"/>
        </w:rPr>
        <w:t xml:space="preserve">Mozos-Blanco et al. (2018): </w:t>
      </w:r>
    </w:p>
    <w:p w:rsidR="00BF7DF3" w:rsidRDefault="009709B5">
      <w:pPr>
        <w:numPr>
          <w:ilvl w:val="0"/>
          <w:numId w:val="5"/>
        </w:numPr>
        <w:pBdr>
          <w:top w:val="nil"/>
          <w:left w:val="nil"/>
          <w:bottom w:val="nil"/>
          <w:right w:val="nil"/>
          <w:between w:val="nil"/>
        </w:pBdr>
        <w:ind w:right="38"/>
        <w:jc w:val="both"/>
        <w:rPr>
          <w:color w:val="231F20"/>
          <w:sz w:val="20"/>
          <w:szCs w:val="20"/>
        </w:rPr>
      </w:pPr>
      <w:r>
        <w:rPr>
          <w:color w:val="231F20"/>
          <w:sz w:val="20"/>
          <w:szCs w:val="20"/>
        </w:rPr>
        <w:t>Alquileres de bicicletas. Ciudades como Bilbao, cuenta con alquileres de bicicletas ubicadas en la calle, se pueden alquilar a través de una aplicación diseñada por el ayuntamiento y se paga con tarjeta de crédito. H</w:t>
      </w:r>
      <w:r>
        <w:rPr>
          <w:color w:val="231F20"/>
          <w:sz w:val="20"/>
          <w:szCs w:val="20"/>
        </w:rPr>
        <w:t>ay distintos puntos en la ciudad donde alquilarlas y a su vez dejarlas, es muy cómodo para los ciudadanos ya que Bilbao también cuenta con calles pensadas para el tránsito de peatones y bicicletas.</w:t>
      </w:r>
    </w:p>
    <w:p w:rsidR="00BF7DF3" w:rsidRDefault="009709B5">
      <w:pPr>
        <w:numPr>
          <w:ilvl w:val="0"/>
          <w:numId w:val="5"/>
        </w:numPr>
        <w:pBdr>
          <w:top w:val="nil"/>
          <w:left w:val="nil"/>
          <w:bottom w:val="nil"/>
          <w:right w:val="nil"/>
          <w:between w:val="nil"/>
        </w:pBdr>
        <w:ind w:right="38"/>
        <w:jc w:val="both"/>
        <w:rPr>
          <w:color w:val="231F20"/>
          <w:sz w:val="20"/>
          <w:szCs w:val="20"/>
        </w:rPr>
      </w:pPr>
      <w:r>
        <w:rPr>
          <w:color w:val="231F20"/>
          <w:sz w:val="20"/>
          <w:szCs w:val="20"/>
        </w:rPr>
        <w:t>Mejorar el transporte público a través de la reestructurac</w:t>
      </w:r>
      <w:r>
        <w:rPr>
          <w:color w:val="231F20"/>
          <w:sz w:val="20"/>
          <w:szCs w:val="20"/>
        </w:rPr>
        <w:t xml:space="preserve">ión de líneas de bus, definir carriles para bus, añadir líneas de metro para las ciudades que tengan, implementar tecnología, etc. </w:t>
      </w:r>
    </w:p>
    <w:p w:rsidR="00BF7DF3" w:rsidRDefault="009709B5">
      <w:pPr>
        <w:numPr>
          <w:ilvl w:val="0"/>
          <w:numId w:val="5"/>
        </w:numPr>
        <w:pBdr>
          <w:top w:val="nil"/>
          <w:left w:val="nil"/>
          <w:bottom w:val="nil"/>
          <w:right w:val="nil"/>
          <w:between w:val="nil"/>
        </w:pBdr>
        <w:ind w:right="38"/>
        <w:jc w:val="both"/>
        <w:rPr>
          <w:color w:val="231F20"/>
          <w:sz w:val="20"/>
          <w:szCs w:val="20"/>
        </w:rPr>
      </w:pPr>
      <w:r>
        <w:rPr>
          <w:color w:val="231F20"/>
          <w:sz w:val="20"/>
          <w:szCs w:val="20"/>
        </w:rPr>
        <w:t>Diseño del espacio público, jerarquizando las vías teniendo en cuenta la vegetación, peatonalización y reordenamiento del es</w:t>
      </w:r>
      <w:r>
        <w:rPr>
          <w:color w:val="231F20"/>
          <w:sz w:val="20"/>
          <w:szCs w:val="20"/>
        </w:rPr>
        <w:t xml:space="preserve">pacio entre otras medidas. </w:t>
      </w:r>
    </w:p>
    <w:p w:rsidR="00BF7DF3" w:rsidRDefault="009709B5">
      <w:pPr>
        <w:numPr>
          <w:ilvl w:val="0"/>
          <w:numId w:val="5"/>
        </w:numPr>
        <w:pBdr>
          <w:top w:val="nil"/>
          <w:left w:val="nil"/>
          <w:bottom w:val="nil"/>
          <w:right w:val="nil"/>
          <w:between w:val="nil"/>
        </w:pBdr>
        <w:ind w:right="38"/>
        <w:jc w:val="both"/>
        <w:rPr>
          <w:color w:val="231F20"/>
          <w:sz w:val="20"/>
          <w:szCs w:val="20"/>
        </w:rPr>
      </w:pPr>
      <w:r>
        <w:rPr>
          <w:color w:val="231F20"/>
          <w:sz w:val="20"/>
          <w:szCs w:val="20"/>
        </w:rPr>
        <w:t>Crear nuevos lugares para aparcar con parkings subterráneos o regular y restringir algunas zonas para estacionar.</w:t>
      </w:r>
    </w:p>
    <w:p w:rsidR="00BF7DF3" w:rsidRDefault="009709B5">
      <w:pPr>
        <w:numPr>
          <w:ilvl w:val="0"/>
          <w:numId w:val="5"/>
        </w:numPr>
        <w:pBdr>
          <w:top w:val="nil"/>
          <w:left w:val="nil"/>
          <w:bottom w:val="nil"/>
          <w:right w:val="nil"/>
          <w:between w:val="nil"/>
        </w:pBdr>
        <w:ind w:right="38"/>
        <w:jc w:val="both"/>
        <w:rPr>
          <w:color w:val="231F20"/>
          <w:sz w:val="20"/>
          <w:szCs w:val="20"/>
        </w:rPr>
      </w:pPr>
      <w:r>
        <w:rPr>
          <w:color w:val="231F20"/>
          <w:sz w:val="20"/>
          <w:szCs w:val="20"/>
        </w:rPr>
        <w:t>La distribución de mercancía no tiene un desarrollo profundo aún en los PMUS, pero generalmente se enfocan en propuestas como establecer franjas horarias para la carga y descarga, crear centros de distribución urbanos, etc.</w:t>
      </w:r>
    </w:p>
    <w:p w:rsidR="00BF7DF3" w:rsidRDefault="009709B5">
      <w:pPr>
        <w:numPr>
          <w:ilvl w:val="0"/>
          <w:numId w:val="5"/>
        </w:numPr>
        <w:pBdr>
          <w:top w:val="nil"/>
          <w:left w:val="nil"/>
          <w:bottom w:val="nil"/>
          <w:right w:val="nil"/>
          <w:between w:val="nil"/>
        </w:pBdr>
        <w:ind w:right="38"/>
        <w:jc w:val="both"/>
        <w:rPr>
          <w:color w:val="231F20"/>
          <w:sz w:val="20"/>
          <w:szCs w:val="20"/>
        </w:rPr>
      </w:pPr>
      <w:r>
        <w:rPr>
          <w:color w:val="231F20"/>
          <w:sz w:val="20"/>
          <w:szCs w:val="20"/>
        </w:rPr>
        <w:t>Campañas de sensibilización y pr</w:t>
      </w:r>
      <w:r>
        <w:rPr>
          <w:color w:val="231F20"/>
          <w:sz w:val="20"/>
          <w:szCs w:val="20"/>
        </w:rPr>
        <w:t>ogramas de formación buscando que la carretera sea segura complementándose a través de la señalización de carreteras.</w:t>
      </w:r>
    </w:p>
    <w:p w:rsidR="00BF7DF3" w:rsidRDefault="009709B5">
      <w:pPr>
        <w:numPr>
          <w:ilvl w:val="0"/>
          <w:numId w:val="5"/>
        </w:numPr>
        <w:pBdr>
          <w:top w:val="nil"/>
          <w:left w:val="nil"/>
          <w:bottom w:val="nil"/>
          <w:right w:val="nil"/>
          <w:between w:val="nil"/>
        </w:pBdr>
        <w:ind w:right="38"/>
        <w:jc w:val="both"/>
        <w:rPr>
          <w:color w:val="231F20"/>
          <w:sz w:val="20"/>
          <w:szCs w:val="20"/>
        </w:rPr>
      </w:pPr>
      <w:r>
        <w:rPr>
          <w:color w:val="231F20"/>
          <w:sz w:val="20"/>
          <w:szCs w:val="20"/>
        </w:rPr>
        <w:t xml:space="preserve">El cuidado del medio ambiente, es un factor muy importante ya que incluso el nombre del plan menciona la parte sostenible. </w:t>
      </w:r>
    </w:p>
    <w:p w:rsidR="00BF7DF3" w:rsidRDefault="009709B5">
      <w:pPr>
        <w:numPr>
          <w:ilvl w:val="0"/>
          <w:numId w:val="5"/>
        </w:numPr>
        <w:pBdr>
          <w:top w:val="nil"/>
          <w:left w:val="nil"/>
          <w:bottom w:val="nil"/>
          <w:right w:val="nil"/>
          <w:between w:val="nil"/>
        </w:pBdr>
        <w:ind w:right="38"/>
        <w:jc w:val="both"/>
        <w:rPr>
          <w:color w:val="231F20"/>
          <w:sz w:val="20"/>
          <w:szCs w:val="20"/>
        </w:rPr>
      </w:pPr>
      <w:r>
        <w:rPr>
          <w:color w:val="231F20"/>
          <w:sz w:val="20"/>
          <w:szCs w:val="20"/>
        </w:rPr>
        <w:t>Un programa de</w:t>
      </w:r>
      <w:r>
        <w:rPr>
          <w:color w:val="231F20"/>
          <w:sz w:val="20"/>
          <w:szCs w:val="20"/>
        </w:rPr>
        <w:t xml:space="preserve"> monitoreo que permita evaluar el desarrollo del proyecto. XXX () menciona que: solo el 10% de los planes analizados carecen de un plan de seguimiento e indicadores asociados a cada una de las medidas descritas. </w:t>
      </w:r>
    </w:p>
    <w:p w:rsidR="00BF7DF3" w:rsidRDefault="009709B5">
      <w:pPr>
        <w:numPr>
          <w:ilvl w:val="0"/>
          <w:numId w:val="5"/>
        </w:numPr>
        <w:pBdr>
          <w:top w:val="nil"/>
          <w:left w:val="nil"/>
          <w:bottom w:val="nil"/>
          <w:right w:val="nil"/>
          <w:between w:val="nil"/>
        </w:pBdr>
        <w:ind w:right="38"/>
        <w:jc w:val="both"/>
        <w:rPr>
          <w:color w:val="231F20"/>
          <w:sz w:val="20"/>
          <w:szCs w:val="20"/>
        </w:rPr>
      </w:pPr>
      <w:r>
        <w:rPr>
          <w:color w:val="231F20"/>
          <w:sz w:val="20"/>
          <w:szCs w:val="20"/>
        </w:rPr>
        <w:t>Plantear un presupuesto para la ejecución d</w:t>
      </w:r>
      <w:r>
        <w:rPr>
          <w:color w:val="231F20"/>
          <w:sz w:val="20"/>
          <w:szCs w:val="20"/>
        </w:rPr>
        <w:t xml:space="preserve">el </w:t>
      </w:r>
      <w:r>
        <w:rPr>
          <w:color w:val="231F20"/>
          <w:sz w:val="20"/>
          <w:szCs w:val="20"/>
        </w:rPr>
        <w:lastRenderedPageBreak/>
        <w:t xml:space="preserve">plan y las acciones planteadas. Muchos de los planes no tienen en cuenta esto, solo los que están elaborados con mucho detalle plantean una estimación.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Ahora bien, Bucaramanga de las recomendaciones planteadas anteriormente ya está implementando: la me</w:t>
      </w:r>
      <w:r>
        <w:rPr>
          <w:color w:val="231F20"/>
          <w:sz w:val="20"/>
          <w:szCs w:val="20"/>
        </w:rPr>
        <w:t xml:space="preserve">jora del sistema de transporte urbano y el uso de las bicicletas como otra alternativa para el desplazamiento.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Además de que en el Plan de Desarrollo de Bucaramanga (2020) menciona el espacio público como uno de los puntos de mejora cuando dice lo siguien</w:t>
      </w:r>
      <w:r>
        <w:rPr>
          <w:color w:val="231F20"/>
          <w:sz w:val="20"/>
          <w:szCs w:val="20"/>
        </w:rPr>
        <w:t>te:</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El 60% del espacio público se encuentra en buen estado, el 23% en regular estado y el 17% en mal estado, por ende, es necesario aumentar los esfuerzos de la administración para reducir este déficit a través de estrategias de recuperación, mejoramiento </w:t>
      </w:r>
      <w:r>
        <w:rPr>
          <w:color w:val="231F20"/>
          <w:sz w:val="20"/>
          <w:szCs w:val="20"/>
        </w:rPr>
        <w:t xml:space="preserve">o restitución de los espacios que no se encuentran en condiciones óptimas para su uso. </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 </w:t>
      </w:r>
    </w:p>
    <w:p w:rsidR="00BF7DF3" w:rsidRDefault="009709B5">
      <w:pPr>
        <w:numPr>
          <w:ilvl w:val="0"/>
          <w:numId w:val="1"/>
        </w:numPr>
        <w:pBdr>
          <w:top w:val="nil"/>
          <w:left w:val="nil"/>
          <w:bottom w:val="nil"/>
          <w:right w:val="nil"/>
          <w:between w:val="nil"/>
        </w:pBdr>
        <w:ind w:right="38"/>
        <w:jc w:val="both"/>
        <w:rPr>
          <w:b/>
          <w:color w:val="231F20"/>
          <w:sz w:val="20"/>
          <w:szCs w:val="20"/>
        </w:rPr>
      </w:pPr>
      <w:r>
        <w:rPr>
          <w:b/>
          <w:color w:val="231F20"/>
          <w:sz w:val="20"/>
          <w:szCs w:val="20"/>
        </w:rPr>
        <w:t>Conclusiones</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A continuación, se mencionan las conclusiones obtenidas gracias al análisis realizado durante el desarrollo de esta investigación.</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Para obtener buenos resultados en la búsqueda de una movilidad urbana se deben tener en cuenta ciertas recomendaciones y puntos: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Incluir a las empresas en el desarrollo de proyectos, esto tomando el ejemplo de cómo se realizó en España a través de una guía</w:t>
      </w:r>
      <w:r>
        <w:rPr>
          <w:color w:val="231F20"/>
          <w:sz w:val="20"/>
          <w:szCs w:val="20"/>
        </w:rPr>
        <w:t xml:space="preserve"> de la Dirección general de Tráfico creada para las empresas donde pudieran revisar buenas prácticas de movilidad; otra manera es promover la responsabilidad social como una cultura organizacional que permita la integración de procesos sostenibles en todas</w:t>
      </w:r>
      <w:r>
        <w:rPr>
          <w:color w:val="231F20"/>
          <w:sz w:val="20"/>
          <w:szCs w:val="20"/>
        </w:rPr>
        <w:t xml:space="preserve"> las áreas.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Hacer buen uso de las tecnologías ya que estas pueden mejorar tanto el transporte de pasajeros como el transporte de carga. Hay tecnologías de la información que brinda data para la toma de decisiones y sistemas de transporte inteligentes que a</w:t>
      </w:r>
      <w:r>
        <w:rPr>
          <w:color w:val="231F20"/>
          <w:sz w:val="20"/>
          <w:szCs w:val="20"/>
        </w:rPr>
        <w:t xml:space="preserve">demás de mejorar la experiencia del usuario lo hacen más eficiente. </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Crear sinergias con grupos de </w:t>
      </w:r>
      <w:proofErr w:type="spellStart"/>
      <w:r>
        <w:rPr>
          <w:color w:val="231F20"/>
          <w:sz w:val="20"/>
          <w:szCs w:val="20"/>
        </w:rPr>
        <w:t>stakeholders</w:t>
      </w:r>
      <w:proofErr w:type="spellEnd"/>
      <w:r>
        <w:rPr>
          <w:color w:val="231F20"/>
          <w:sz w:val="20"/>
          <w:szCs w:val="20"/>
        </w:rPr>
        <w:t xml:space="preserve"> útiles para el desarrollo de planes de logística, puede ser útil ya que permite aprovechar la información que tiene el sector privado y sus recu</w:t>
      </w:r>
      <w:r>
        <w:rPr>
          <w:color w:val="231F20"/>
          <w:sz w:val="20"/>
          <w:szCs w:val="20"/>
        </w:rPr>
        <w:t>rsos.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Especificar la interacción de cada </w:t>
      </w:r>
      <w:proofErr w:type="spellStart"/>
      <w:r>
        <w:rPr>
          <w:color w:val="231F20"/>
          <w:sz w:val="20"/>
          <w:szCs w:val="20"/>
        </w:rPr>
        <w:t>stakeholders</w:t>
      </w:r>
      <w:proofErr w:type="spellEnd"/>
      <w:r>
        <w:rPr>
          <w:color w:val="231F20"/>
          <w:sz w:val="20"/>
          <w:szCs w:val="20"/>
        </w:rPr>
        <w:t xml:space="preserve"> por medio de la asignación de responsabilidades claras a la vez que se atienden las necesidades previamente establecidas por los mismos.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El transporte urbano de mercancías debe ser parte imprescindible </w:t>
      </w:r>
      <w:r>
        <w:rPr>
          <w:color w:val="231F20"/>
          <w:sz w:val="20"/>
          <w:szCs w:val="20"/>
        </w:rPr>
        <w:t>de la planificación urbana de las ciudades, ya que tiene incidencia directa en la movilidad y en la economía.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Los criterios de evaluación que determinan los lineamientos del plan logístico para el AMB deben ser equilibrados y socializados entre las partes </w:t>
      </w:r>
      <w:r>
        <w:rPr>
          <w:color w:val="231F20"/>
          <w:sz w:val="20"/>
          <w:szCs w:val="20"/>
        </w:rPr>
        <w:t>interesadas.</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Tener presentes las tendencias de las entregas de última</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 xml:space="preserve">milla ya que, en gran parte, las aglomeraciones vehiculares dentro de la ciudad se deben a la escasa </w:t>
      </w:r>
      <w:r>
        <w:rPr>
          <w:color w:val="231F20"/>
          <w:sz w:val="20"/>
          <w:szCs w:val="20"/>
        </w:rPr>
        <w:lastRenderedPageBreak/>
        <w:t>atención de esta parte del proceso de entrega en el plan ordenamiento territorial, co</w:t>
      </w:r>
      <w:r>
        <w:rPr>
          <w:color w:val="231F20"/>
          <w:sz w:val="20"/>
          <w:szCs w:val="20"/>
        </w:rPr>
        <w:t>ntemplar las estrategias utilizadas en otros países para mejorar este servicio.</w:t>
      </w:r>
    </w:p>
    <w:p w:rsidR="00BF7DF3" w:rsidRDefault="009709B5">
      <w:pPr>
        <w:pBdr>
          <w:top w:val="nil"/>
          <w:left w:val="nil"/>
          <w:bottom w:val="nil"/>
          <w:right w:val="nil"/>
          <w:between w:val="nil"/>
        </w:pBdr>
        <w:ind w:left="167" w:right="38" w:firstLine="283"/>
        <w:jc w:val="both"/>
        <w:rPr>
          <w:color w:val="231F20"/>
          <w:sz w:val="20"/>
          <w:szCs w:val="20"/>
        </w:rPr>
      </w:pPr>
      <w:r>
        <w:rPr>
          <w:color w:val="231F20"/>
          <w:sz w:val="20"/>
          <w:szCs w:val="20"/>
        </w:rPr>
        <w:t>Europa ya lleva años desarrollando planes como: SULP, SUMP y SUTP, a través de iniciativas como CIVITAS y ENCLOSE las cuales reciben apoyo económico de Europa. La revisión de e</w:t>
      </w:r>
      <w:r>
        <w:rPr>
          <w:color w:val="231F20"/>
          <w:sz w:val="20"/>
          <w:szCs w:val="20"/>
        </w:rPr>
        <w:t>stos planes sirve como guía para el presente estudio ya que muestra los pasos a seguir y la metodología aplicada para llevarlos a cabo. Tener presente herramientas virtuales para el análisis comparativo de estrategias utilizadas que pueden ser útiles y fác</w:t>
      </w:r>
      <w:r>
        <w:rPr>
          <w:color w:val="231F20"/>
          <w:sz w:val="20"/>
          <w:szCs w:val="20"/>
        </w:rPr>
        <w:t>ilmente aplicables a las condiciones del AMB agiliza el proceso de integración con estos nuevos conceptos logísticos.</w:t>
      </w: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BF7DF3">
      <w:pPr>
        <w:pBdr>
          <w:top w:val="nil"/>
          <w:left w:val="nil"/>
          <w:bottom w:val="nil"/>
          <w:right w:val="nil"/>
          <w:between w:val="nil"/>
        </w:pBdr>
        <w:ind w:left="167" w:right="38" w:firstLine="283"/>
        <w:jc w:val="both"/>
        <w:rPr>
          <w:color w:val="231F20"/>
          <w:sz w:val="20"/>
          <w:szCs w:val="20"/>
        </w:rPr>
      </w:pPr>
    </w:p>
    <w:p w:rsidR="00BF7DF3" w:rsidRDefault="009709B5">
      <w:pPr>
        <w:pStyle w:val="Ttulo1"/>
        <w:ind w:left="0" w:firstLine="0"/>
        <w:rPr>
          <w:color w:val="231F20"/>
        </w:rPr>
      </w:pPr>
      <w:r>
        <w:rPr>
          <w:color w:val="231F20"/>
        </w:rPr>
        <w:t xml:space="preserve">    Referencias</w:t>
      </w:r>
    </w:p>
    <w:p w:rsidR="00BF7DF3" w:rsidRDefault="00BF7DF3">
      <w:pPr>
        <w:pBdr>
          <w:top w:val="nil"/>
          <w:left w:val="nil"/>
          <w:bottom w:val="nil"/>
          <w:right w:val="nil"/>
          <w:between w:val="nil"/>
        </w:pBdr>
        <w:spacing w:before="1" w:line="276" w:lineRule="auto"/>
        <w:ind w:left="118"/>
        <w:jc w:val="both"/>
        <w:rPr>
          <w:rFonts w:ascii="Cambria" w:eastAsia="Cambria" w:hAnsi="Cambria" w:cs="Cambria"/>
          <w:color w:val="000000"/>
          <w:sz w:val="20"/>
          <w:szCs w:val="20"/>
        </w:rPr>
      </w:pPr>
    </w:p>
    <w:p w:rsidR="00BF7DF3" w:rsidRDefault="009709B5">
      <w:pPr>
        <w:pBdr>
          <w:top w:val="nil"/>
          <w:left w:val="nil"/>
          <w:bottom w:val="nil"/>
          <w:right w:val="nil"/>
          <w:between w:val="nil"/>
        </w:pBdr>
        <w:spacing w:before="1" w:line="276" w:lineRule="auto"/>
        <w:jc w:val="both"/>
        <w:rPr>
          <w:i/>
          <w:color w:val="231F20"/>
          <w:sz w:val="16"/>
          <w:szCs w:val="16"/>
        </w:rPr>
      </w:pPr>
      <w:r>
        <w:rPr>
          <w:color w:val="231F20"/>
          <w:sz w:val="16"/>
          <w:szCs w:val="16"/>
        </w:rPr>
        <w:t xml:space="preserve">Alcaldía de Bucaramanga. (2020). </w:t>
      </w:r>
      <w:r>
        <w:rPr>
          <w:i/>
          <w:color w:val="231F20"/>
          <w:sz w:val="16"/>
          <w:szCs w:val="16"/>
        </w:rPr>
        <w:t>Plan de Desarrollo Municipal 2020-2023.</w:t>
      </w:r>
    </w:p>
    <w:p w:rsidR="00BF7DF3" w:rsidRDefault="009709B5">
      <w:pPr>
        <w:pBdr>
          <w:top w:val="nil"/>
          <w:left w:val="nil"/>
          <w:bottom w:val="nil"/>
          <w:right w:val="nil"/>
          <w:between w:val="nil"/>
        </w:pBdr>
        <w:spacing w:before="1" w:line="276" w:lineRule="auto"/>
        <w:jc w:val="both"/>
        <w:rPr>
          <w:i/>
          <w:color w:val="231F20"/>
          <w:sz w:val="16"/>
          <w:szCs w:val="16"/>
        </w:rPr>
      </w:pPr>
      <w:proofErr w:type="spellStart"/>
      <w:r>
        <w:rPr>
          <w:color w:val="231F20"/>
          <w:sz w:val="16"/>
          <w:szCs w:val="16"/>
        </w:rPr>
        <w:t>Ambrosino</w:t>
      </w:r>
      <w:proofErr w:type="spellEnd"/>
      <w:r>
        <w:rPr>
          <w:color w:val="231F20"/>
          <w:sz w:val="16"/>
          <w:szCs w:val="16"/>
        </w:rPr>
        <w:t xml:space="preserve">, G. (2015). </w:t>
      </w:r>
      <w:proofErr w:type="spellStart"/>
      <w:r>
        <w:rPr>
          <w:i/>
          <w:color w:val="231F20"/>
          <w:sz w:val="16"/>
          <w:szCs w:val="16"/>
        </w:rPr>
        <w:t>Developing</w:t>
      </w:r>
      <w:proofErr w:type="spellEnd"/>
      <w:r>
        <w:rPr>
          <w:i/>
          <w:color w:val="231F20"/>
          <w:sz w:val="16"/>
          <w:szCs w:val="16"/>
        </w:rPr>
        <w:t xml:space="preserve"> And </w:t>
      </w:r>
      <w:proofErr w:type="spellStart"/>
      <w:r>
        <w:rPr>
          <w:i/>
          <w:color w:val="231F20"/>
          <w:sz w:val="16"/>
          <w:szCs w:val="16"/>
        </w:rPr>
        <w:t>Implementing</w:t>
      </w:r>
      <w:proofErr w:type="spellEnd"/>
      <w:r>
        <w:rPr>
          <w:i/>
          <w:color w:val="231F20"/>
          <w:sz w:val="16"/>
          <w:szCs w:val="16"/>
        </w:rPr>
        <w:t xml:space="preserve"> A </w:t>
      </w:r>
      <w:proofErr w:type="spellStart"/>
      <w:r>
        <w:rPr>
          <w:i/>
          <w:color w:val="231F20"/>
          <w:sz w:val="16"/>
          <w:szCs w:val="16"/>
        </w:rPr>
        <w:t>Sustainable</w:t>
      </w:r>
      <w:proofErr w:type="spellEnd"/>
      <w:r>
        <w:rPr>
          <w:i/>
          <w:color w:val="231F20"/>
          <w:sz w:val="16"/>
          <w:szCs w:val="16"/>
        </w:rPr>
        <w:t xml:space="preserve">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Logistics</w:t>
      </w:r>
      <w:proofErr w:type="spellEnd"/>
      <w:r>
        <w:rPr>
          <w:i/>
          <w:color w:val="231F20"/>
          <w:sz w:val="16"/>
          <w:szCs w:val="16"/>
        </w:rPr>
        <w:t xml:space="preserve"> Plan. </w:t>
      </w:r>
      <w:proofErr w:type="spellStart"/>
      <w:r>
        <w:rPr>
          <w:i/>
          <w:color w:val="231F20"/>
          <w:sz w:val="16"/>
          <w:szCs w:val="16"/>
        </w:rPr>
        <w:t>Enclose</w:t>
      </w:r>
      <w:proofErr w:type="spellEnd"/>
      <w:r>
        <w:rPr>
          <w:i/>
          <w:color w:val="231F20"/>
          <w:sz w:val="16"/>
          <w:szCs w:val="16"/>
        </w:rPr>
        <w:t>.</w:t>
      </w:r>
    </w:p>
    <w:p w:rsidR="00BF7DF3" w:rsidRDefault="009709B5">
      <w:pPr>
        <w:spacing w:line="276" w:lineRule="auto"/>
        <w:ind w:right="324"/>
        <w:jc w:val="both"/>
        <w:rPr>
          <w:color w:val="231F20"/>
          <w:sz w:val="16"/>
          <w:szCs w:val="16"/>
        </w:rPr>
      </w:pPr>
      <w:r>
        <w:rPr>
          <w:color w:val="231F20"/>
          <w:sz w:val="16"/>
          <w:szCs w:val="16"/>
        </w:rPr>
        <w:t xml:space="preserve">Área Metropolitana de Bucaramanga. (2022). </w:t>
      </w:r>
      <w:r>
        <w:rPr>
          <w:i/>
          <w:color w:val="231F20"/>
          <w:sz w:val="16"/>
          <w:szCs w:val="16"/>
        </w:rPr>
        <w:t>Consultoría Para La Actualización Del Plan Maestro Metropolitano De Movilidad (</w:t>
      </w:r>
      <w:proofErr w:type="spellStart"/>
      <w:r>
        <w:rPr>
          <w:i/>
          <w:color w:val="231F20"/>
          <w:sz w:val="16"/>
          <w:szCs w:val="16"/>
        </w:rPr>
        <w:t>Pmmm</w:t>
      </w:r>
      <w:proofErr w:type="spellEnd"/>
      <w:r>
        <w:rPr>
          <w:i/>
          <w:color w:val="231F20"/>
          <w:sz w:val="16"/>
          <w:szCs w:val="16"/>
        </w:rPr>
        <w:t>) Del Área Metropolitana De Bucaramanga</w:t>
      </w:r>
      <w:r>
        <w:rPr>
          <w:color w:val="231F20"/>
          <w:sz w:val="16"/>
          <w:szCs w:val="16"/>
        </w:rPr>
        <w:t>.</w:t>
      </w:r>
    </w:p>
    <w:p w:rsidR="00BF7DF3" w:rsidRDefault="009709B5">
      <w:pPr>
        <w:spacing w:line="276" w:lineRule="auto"/>
        <w:ind w:right="324"/>
        <w:jc w:val="both"/>
        <w:rPr>
          <w:color w:val="231F20"/>
          <w:sz w:val="16"/>
          <w:szCs w:val="16"/>
        </w:rPr>
      </w:pPr>
      <w:r>
        <w:rPr>
          <w:color w:val="231F20"/>
          <w:sz w:val="16"/>
          <w:szCs w:val="16"/>
        </w:rPr>
        <w:t>ÁREA METRO</w:t>
      </w:r>
      <w:r>
        <w:rPr>
          <w:color w:val="231F20"/>
          <w:sz w:val="16"/>
          <w:szCs w:val="16"/>
        </w:rPr>
        <w:t xml:space="preserve">POLITANA DEL VALLE DE ABURRÁ. (2017). </w:t>
      </w:r>
      <w:r>
        <w:rPr>
          <w:i/>
          <w:color w:val="231F20"/>
          <w:sz w:val="16"/>
          <w:szCs w:val="16"/>
        </w:rPr>
        <w:t xml:space="preserve">Estudio de Transporte de Carga en el Área Metropolitana del Valle de </w:t>
      </w:r>
      <w:proofErr w:type="spellStart"/>
      <w:r>
        <w:rPr>
          <w:i/>
          <w:color w:val="231F20"/>
          <w:sz w:val="16"/>
          <w:szCs w:val="16"/>
        </w:rPr>
        <w:t>Aburrá</w:t>
      </w:r>
      <w:proofErr w:type="spellEnd"/>
      <w:r>
        <w:rPr>
          <w:i/>
          <w:color w:val="231F20"/>
          <w:sz w:val="16"/>
          <w:szCs w:val="16"/>
        </w:rPr>
        <w:t>.</w:t>
      </w:r>
    </w:p>
    <w:p w:rsidR="00BF7DF3" w:rsidRDefault="009709B5">
      <w:pPr>
        <w:spacing w:line="276" w:lineRule="auto"/>
        <w:ind w:right="324"/>
        <w:jc w:val="both"/>
        <w:rPr>
          <w:color w:val="231F20"/>
        </w:rPr>
      </w:pPr>
      <w:r>
        <w:rPr>
          <w:color w:val="231F20"/>
          <w:sz w:val="16"/>
          <w:szCs w:val="16"/>
        </w:rPr>
        <w:t>Arenas, J. L. (</w:t>
      </w:r>
      <w:proofErr w:type="spellStart"/>
      <w:r>
        <w:rPr>
          <w:color w:val="231F20"/>
          <w:sz w:val="16"/>
          <w:szCs w:val="16"/>
        </w:rPr>
        <w:t>s.f</w:t>
      </w:r>
      <w:proofErr w:type="spellEnd"/>
      <w:r>
        <w:rPr>
          <w:color w:val="231F20"/>
          <w:sz w:val="16"/>
          <w:szCs w:val="16"/>
        </w:rPr>
        <w:t xml:space="preserve">). </w:t>
      </w:r>
      <w:r>
        <w:rPr>
          <w:i/>
          <w:color w:val="231F20"/>
          <w:sz w:val="16"/>
          <w:szCs w:val="16"/>
        </w:rPr>
        <w:t xml:space="preserve">Vanguardia. Obtenido de </w:t>
      </w:r>
      <w:hyperlink r:id="rId19">
        <w:r>
          <w:rPr>
            <w:i/>
            <w:color w:val="440AE6"/>
            <w:sz w:val="16"/>
            <w:szCs w:val="16"/>
          </w:rPr>
          <w:t>https://www.vanguardia.com/area-metropolitana/bucaramanga/el-top-cinco-de-las-fallas-con-el-espacio-publico-en-bucaramanga-NF5061069</w:t>
        </w:r>
      </w:hyperlink>
    </w:p>
    <w:p w:rsidR="00BF7DF3" w:rsidRDefault="009709B5">
      <w:pPr>
        <w:spacing w:line="276" w:lineRule="auto"/>
        <w:ind w:right="324"/>
        <w:jc w:val="both"/>
        <w:rPr>
          <w:i/>
          <w:color w:val="231F20"/>
          <w:sz w:val="16"/>
          <w:szCs w:val="16"/>
        </w:rPr>
      </w:pPr>
      <w:proofErr w:type="spellStart"/>
      <w:r>
        <w:rPr>
          <w:color w:val="231F20"/>
          <w:sz w:val="16"/>
          <w:szCs w:val="16"/>
        </w:rPr>
        <w:t>Atkinson</w:t>
      </w:r>
      <w:proofErr w:type="spellEnd"/>
      <w:r>
        <w:rPr>
          <w:color w:val="231F20"/>
          <w:sz w:val="16"/>
          <w:szCs w:val="16"/>
        </w:rPr>
        <w:t xml:space="preserve"> &amp; Flint. (2001). </w:t>
      </w:r>
      <w:proofErr w:type="spellStart"/>
      <w:r>
        <w:rPr>
          <w:i/>
          <w:color w:val="231F20"/>
          <w:sz w:val="16"/>
          <w:szCs w:val="16"/>
        </w:rPr>
        <w:t>Accessing</w:t>
      </w:r>
      <w:proofErr w:type="spellEnd"/>
      <w:r>
        <w:rPr>
          <w:i/>
          <w:color w:val="231F20"/>
          <w:sz w:val="16"/>
          <w:szCs w:val="16"/>
        </w:rPr>
        <w:t xml:space="preserve"> </w:t>
      </w:r>
      <w:proofErr w:type="spellStart"/>
      <w:r>
        <w:rPr>
          <w:i/>
          <w:color w:val="231F20"/>
          <w:sz w:val="16"/>
          <w:szCs w:val="16"/>
        </w:rPr>
        <w:t>Hidden</w:t>
      </w:r>
      <w:proofErr w:type="spellEnd"/>
      <w:r>
        <w:rPr>
          <w:i/>
          <w:color w:val="231F20"/>
          <w:sz w:val="16"/>
          <w:szCs w:val="16"/>
        </w:rPr>
        <w:t xml:space="preserve"> and </w:t>
      </w:r>
      <w:proofErr w:type="spellStart"/>
      <w:r>
        <w:rPr>
          <w:i/>
          <w:color w:val="231F20"/>
          <w:sz w:val="16"/>
          <w:szCs w:val="16"/>
        </w:rPr>
        <w:t>Hard</w:t>
      </w:r>
      <w:proofErr w:type="spellEnd"/>
      <w:r>
        <w:rPr>
          <w:i/>
          <w:color w:val="231F20"/>
          <w:sz w:val="16"/>
          <w:szCs w:val="16"/>
        </w:rPr>
        <w:t>-to-</w:t>
      </w:r>
      <w:proofErr w:type="spellStart"/>
      <w:r>
        <w:rPr>
          <w:i/>
          <w:color w:val="231F20"/>
          <w:sz w:val="16"/>
          <w:szCs w:val="16"/>
        </w:rPr>
        <w:t>Reach</w:t>
      </w:r>
      <w:proofErr w:type="spellEnd"/>
      <w:r>
        <w:rPr>
          <w:i/>
          <w:color w:val="231F20"/>
          <w:sz w:val="16"/>
          <w:szCs w:val="16"/>
        </w:rPr>
        <w:t xml:space="preserve"> </w:t>
      </w:r>
      <w:proofErr w:type="spellStart"/>
      <w:r>
        <w:rPr>
          <w:i/>
          <w:color w:val="231F20"/>
          <w:sz w:val="16"/>
          <w:szCs w:val="16"/>
        </w:rPr>
        <w:t>Popula</w:t>
      </w:r>
      <w:r>
        <w:rPr>
          <w:i/>
          <w:color w:val="231F20"/>
          <w:sz w:val="16"/>
          <w:szCs w:val="16"/>
        </w:rPr>
        <w:t>tions</w:t>
      </w:r>
      <w:proofErr w:type="spellEnd"/>
      <w:r>
        <w:rPr>
          <w:i/>
          <w:color w:val="231F20"/>
          <w:sz w:val="16"/>
          <w:szCs w:val="16"/>
        </w:rPr>
        <w:t xml:space="preserve">: </w:t>
      </w:r>
      <w:proofErr w:type="spellStart"/>
      <w:r>
        <w:rPr>
          <w:i/>
          <w:color w:val="231F20"/>
          <w:sz w:val="16"/>
          <w:szCs w:val="16"/>
        </w:rPr>
        <w:t>Snowball</w:t>
      </w:r>
      <w:proofErr w:type="spellEnd"/>
      <w:r>
        <w:rPr>
          <w:i/>
          <w:color w:val="231F20"/>
          <w:sz w:val="16"/>
          <w:szCs w:val="16"/>
        </w:rPr>
        <w:t xml:space="preserve"> </w:t>
      </w:r>
      <w:proofErr w:type="spellStart"/>
      <w:r>
        <w:rPr>
          <w:i/>
          <w:color w:val="231F20"/>
          <w:sz w:val="16"/>
          <w:szCs w:val="16"/>
        </w:rPr>
        <w:t>Research</w:t>
      </w:r>
      <w:proofErr w:type="spellEnd"/>
      <w:r>
        <w:rPr>
          <w:i/>
          <w:color w:val="231F20"/>
          <w:sz w:val="16"/>
          <w:szCs w:val="16"/>
        </w:rPr>
        <w:t xml:space="preserve"> </w:t>
      </w:r>
      <w:proofErr w:type="spellStart"/>
      <w:r>
        <w:rPr>
          <w:i/>
          <w:color w:val="231F20"/>
          <w:sz w:val="16"/>
          <w:szCs w:val="16"/>
        </w:rPr>
        <w:t>Strategies</w:t>
      </w:r>
      <w:proofErr w:type="spellEnd"/>
      <w:r>
        <w:rPr>
          <w:i/>
          <w:color w:val="231F20"/>
          <w:sz w:val="16"/>
          <w:szCs w:val="16"/>
        </w:rPr>
        <w:t>.</w:t>
      </w:r>
    </w:p>
    <w:p w:rsidR="00BF7DF3" w:rsidRDefault="009709B5">
      <w:pPr>
        <w:spacing w:line="276" w:lineRule="auto"/>
        <w:ind w:right="324"/>
        <w:jc w:val="both"/>
        <w:rPr>
          <w:color w:val="231F20"/>
          <w:sz w:val="16"/>
          <w:szCs w:val="16"/>
        </w:rPr>
      </w:pPr>
      <w:proofErr w:type="spellStart"/>
      <w:r>
        <w:rPr>
          <w:color w:val="231F20"/>
          <w:sz w:val="16"/>
          <w:szCs w:val="16"/>
        </w:rPr>
        <w:t>Bjørgen</w:t>
      </w:r>
      <w:proofErr w:type="spellEnd"/>
      <w:r>
        <w:rPr>
          <w:color w:val="231F20"/>
          <w:sz w:val="16"/>
          <w:szCs w:val="16"/>
        </w:rPr>
        <w:t>, M. R. (2022</w:t>
      </w:r>
      <w:r>
        <w:rPr>
          <w:i/>
          <w:color w:val="231F20"/>
          <w:sz w:val="16"/>
          <w:szCs w:val="16"/>
        </w:rPr>
        <w:t xml:space="preserve">). </w:t>
      </w:r>
      <w:proofErr w:type="spellStart"/>
      <w:r>
        <w:rPr>
          <w:i/>
          <w:color w:val="231F20"/>
          <w:sz w:val="16"/>
          <w:szCs w:val="16"/>
        </w:rPr>
        <w:t>Integration</w:t>
      </w:r>
      <w:proofErr w:type="spellEnd"/>
      <w:r>
        <w:rPr>
          <w:i/>
          <w:color w:val="231F20"/>
          <w:sz w:val="16"/>
          <w:szCs w:val="16"/>
        </w:rPr>
        <w:t xml:space="preserve"> of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freight</w:t>
      </w:r>
      <w:proofErr w:type="spellEnd"/>
      <w:r>
        <w:rPr>
          <w:i/>
          <w:color w:val="231F20"/>
          <w:sz w:val="16"/>
          <w:szCs w:val="16"/>
        </w:rPr>
        <w:t xml:space="preserve"> </w:t>
      </w:r>
      <w:proofErr w:type="spellStart"/>
      <w:r>
        <w:rPr>
          <w:i/>
          <w:color w:val="231F20"/>
          <w:sz w:val="16"/>
          <w:szCs w:val="16"/>
        </w:rPr>
        <w:t>transport</w:t>
      </w:r>
      <w:proofErr w:type="spellEnd"/>
      <w:r>
        <w:rPr>
          <w:i/>
          <w:color w:val="231F20"/>
          <w:sz w:val="16"/>
          <w:szCs w:val="16"/>
        </w:rPr>
        <w:t xml:space="preserve"> in </w:t>
      </w:r>
      <w:proofErr w:type="spellStart"/>
      <w:r>
        <w:rPr>
          <w:i/>
          <w:color w:val="231F20"/>
          <w:sz w:val="16"/>
          <w:szCs w:val="16"/>
        </w:rPr>
        <w:t>city</w:t>
      </w:r>
      <w:proofErr w:type="spellEnd"/>
      <w:r>
        <w:rPr>
          <w:i/>
          <w:color w:val="231F20"/>
          <w:sz w:val="16"/>
          <w:szCs w:val="16"/>
        </w:rPr>
        <w:t xml:space="preserve"> </w:t>
      </w:r>
      <w:proofErr w:type="spellStart"/>
      <w:r>
        <w:rPr>
          <w:i/>
          <w:color w:val="231F20"/>
          <w:sz w:val="16"/>
          <w:szCs w:val="16"/>
        </w:rPr>
        <w:t>planning</w:t>
      </w:r>
      <w:proofErr w:type="spellEnd"/>
      <w:r>
        <w:rPr>
          <w:i/>
          <w:color w:val="231F20"/>
          <w:sz w:val="16"/>
          <w:szCs w:val="16"/>
        </w:rPr>
        <w:t xml:space="preserve">: </w:t>
      </w:r>
      <w:proofErr w:type="spellStart"/>
      <w:r>
        <w:rPr>
          <w:i/>
          <w:color w:val="231F20"/>
          <w:sz w:val="16"/>
          <w:szCs w:val="16"/>
        </w:rPr>
        <w:t>Lesson</w:t>
      </w:r>
      <w:proofErr w:type="spellEnd"/>
      <w:r>
        <w:rPr>
          <w:i/>
          <w:color w:val="231F20"/>
          <w:sz w:val="16"/>
          <w:szCs w:val="16"/>
        </w:rPr>
        <w:t xml:space="preserve"> </w:t>
      </w:r>
      <w:proofErr w:type="spellStart"/>
      <w:r>
        <w:rPr>
          <w:i/>
          <w:color w:val="231F20"/>
          <w:sz w:val="16"/>
          <w:szCs w:val="16"/>
        </w:rPr>
        <w:t>learned</w:t>
      </w:r>
      <w:proofErr w:type="spellEnd"/>
      <w:r>
        <w:rPr>
          <w:i/>
          <w:color w:val="231F20"/>
          <w:sz w:val="16"/>
          <w:szCs w:val="16"/>
        </w:rPr>
        <w:t xml:space="preserve">. </w:t>
      </w:r>
      <w:proofErr w:type="spellStart"/>
      <w:r>
        <w:rPr>
          <w:i/>
          <w:color w:val="231F20"/>
          <w:sz w:val="16"/>
          <w:szCs w:val="16"/>
        </w:rPr>
        <w:t>Elsevier</w:t>
      </w:r>
      <w:proofErr w:type="spellEnd"/>
      <w:r>
        <w:rPr>
          <w:i/>
          <w:color w:val="231F20"/>
          <w:sz w:val="16"/>
          <w:szCs w:val="16"/>
        </w:rPr>
        <w:t>.</w:t>
      </w:r>
    </w:p>
    <w:p w:rsidR="00BF7DF3" w:rsidRDefault="009709B5">
      <w:pPr>
        <w:spacing w:line="276" w:lineRule="auto"/>
        <w:ind w:right="324"/>
        <w:jc w:val="both"/>
        <w:rPr>
          <w:i/>
          <w:color w:val="231F20"/>
          <w:sz w:val="16"/>
          <w:szCs w:val="16"/>
        </w:rPr>
      </w:pPr>
      <w:r>
        <w:rPr>
          <w:color w:val="231F20"/>
          <w:sz w:val="16"/>
          <w:szCs w:val="16"/>
        </w:rPr>
        <w:t xml:space="preserve">CONSEJO NACIONAL DE POLÍTICA ECONÓMICA Y SOCIAL. (2020). </w:t>
      </w:r>
      <w:r>
        <w:rPr>
          <w:i/>
          <w:color w:val="231F20"/>
          <w:sz w:val="16"/>
          <w:szCs w:val="16"/>
        </w:rPr>
        <w:t>Política Nacional Logística.</w:t>
      </w:r>
    </w:p>
    <w:p w:rsidR="00BF7DF3" w:rsidRDefault="009709B5">
      <w:pPr>
        <w:spacing w:line="276" w:lineRule="auto"/>
        <w:ind w:right="324"/>
        <w:jc w:val="both"/>
        <w:rPr>
          <w:color w:val="231F20"/>
          <w:sz w:val="16"/>
          <w:szCs w:val="16"/>
        </w:rPr>
      </w:pPr>
      <w:proofErr w:type="spellStart"/>
      <w:r>
        <w:rPr>
          <w:color w:val="231F20"/>
          <w:sz w:val="16"/>
          <w:szCs w:val="16"/>
        </w:rPr>
        <w:t>Comi</w:t>
      </w:r>
      <w:proofErr w:type="spellEnd"/>
      <w:r>
        <w:rPr>
          <w:color w:val="231F20"/>
          <w:sz w:val="16"/>
          <w:szCs w:val="16"/>
        </w:rPr>
        <w:t xml:space="preserve">, F. R. (2016).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F</w:t>
      </w:r>
      <w:r>
        <w:rPr>
          <w:i/>
          <w:color w:val="231F20"/>
          <w:sz w:val="16"/>
          <w:szCs w:val="16"/>
        </w:rPr>
        <w:t>reight</w:t>
      </w:r>
      <w:proofErr w:type="spellEnd"/>
      <w:r>
        <w:rPr>
          <w:i/>
          <w:color w:val="231F20"/>
          <w:sz w:val="16"/>
          <w:szCs w:val="16"/>
        </w:rPr>
        <w:t xml:space="preserve"> </w:t>
      </w:r>
      <w:proofErr w:type="spellStart"/>
      <w:r>
        <w:rPr>
          <w:i/>
          <w:color w:val="231F20"/>
          <w:sz w:val="16"/>
          <w:szCs w:val="16"/>
        </w:rPr>
        <w:t>Transport</w:t>
      </w:r>
      <w:proofErr w:type="spellEnd"/>
      <w:r>
        <w:rPr>
          <w:i/>
          <w:color w:val="231F20"/>
          <w:sz w:val="16"/>
          <w:szCs w:val="16"/>
        </w:rPr>
        <w:t xml:space="preserve"> </w:t>
      </w:r>
      <w:proofErr w:type="spellStart"/>
      <w:r>
        <w:rPr>
          <w:i/>
          <w:color w:val="231F20"/>
          <w:sz w:val="16"/>
          <w:szCs w:val="16"/>
        </w:rPr>
        <w:t>Planning</w:t>
      </w:r>
      <w:proofErr w:type="spellEnd"/>
      <w:r>
        <w:rPr>
          <w:i/>
          <w:color w:val="231F20"/>
          <w:sz w:val="16"/>
          <w:szCs w:val="16"/>
        </w:rPr>
        <w:t xml:space="preserve"> </w:t>
      </w:r>
      <w:proofErr w:type="spellStart"/>
      <w:r>
        <w:rPr>
          <w:i/>
          <w:color w:val="231F20"/>
          <w:sz w:val="16"/>
          <w:szCs w:val="16"/>
        </w:rPr>
        <w:t>towards</w:t>
      </w:r>
      <w:proofErr w:type="spellEnd"/>
      <w:r>
        <w:rPr>
          <w:i/>
          <w:color w:val="231F20"/>
          <w:sz w:val="16"/>
          <w:szCs w:val="16"/>
        </w:rPr>
        <w:t xml:space="preserve"> Green </w:t>
      </w:r>
      <w:proofErr w:type="spellStart"/>
      <w:r>
        <w:rPr>
          <w:i/>
          <w:color w:val="231F20"/>
          <w:sz w:val="16"/>
          <w:szCs w:val="16"/>
        </w:rPr>
        <w:t>Goals</w:t>
      </w:r>
      <w:proofErr w:type="spellEnd"/>
      <w:r>
        <w:rPr>
          <w:i/>
          <w:color w:val="231F20"/>
          <w:sz w:val="16"/>
          <w:szCs w:val="16"/>
        </w:rPr>
        <w:t xml:space="preserve">: </w:t>
      </w:r>
      <w:proofErr w:type="spellStart"/>
      <w:r>
        <w:rPr>
          <w:i/>
          <w:color w:val="231F20"/>
          <w:sz w:val="16"/>
          <w:szCs w:val="16"/>
        </w:rPr>
        <w:t>Synthetic</w:t>
      </w:r>
      <w:proofErr w:type="spellEnd"/>
      <w:r>
        <w:rPr>
          <w:i/>
          <w:color w:val="231F20"/>
          <w:sz w:val="16"/>
          <w:szCs w:val="16"/>
        </w:rPr>
        <w:t xml:space="preserve"> </w:t>
      </w:r>
      <w:proofErr w:type="spellStart"/>
      <w:r>
        <w:rPr>
          <w:i/>
          <w:color w:val="231F20"/>
          <w:sz w:val="16"/>
          <w:szCs w:val="16"/>
        </w:rPr>
        <w:t>Environmental</w:t>
      </w:r>
      <w:proofErr w:type="spellEnd"/>
      <w:r>
        <w:rPr>
          <w:i/>
          <w:color w:val="231F20"/>
          <w:sz w:val="16"/>
          <w:szCs w:val="16"/>
        </w:rPr>
        <w:t xml:space="preserve"> </w:t>
      </w:r>
      <w:proofErr w:type="spellStart"/>
      <w:r>
        <w:rPr>
          <w:i/>
          <w:color w:val="231F20"/>
          <w:sz w:val="16"/>
          <w:szCs w:val="16"/>
        </w:rPr>
        <w:t>Evidence</w:t>
      </w:r>
      <w:proofErr w:type="spellEnd"/>
      <w:r>
        <w:rPr>
          <w:i/>
          <w:color w:val="231F20"/>
          <w:sz w:val="16"/>
          <w:szCs w:val="16"/>
        </w:rPr>
        <w:t xml:space="preserve"> </w:t>
      </w:r>
      <w:proofErr w:type="spellStart"/>
      <w:r>
        <w:rPr>
          <w:i/>
          <w:color w:val="231F20"/>
          <w:sz w:val="16"/>
          <w:szCs w:val="16"/>
        </w:rPr>
        <w:t>from</w:t>
      </w:r>
      <w:proofErr w:type="spellEnd"/>
      <w:r>
        <w:rPr>
          <w:i/>
          <w:color w:val="231F20"/>
          <w:sz w:val="16"/>
          <w:szCs w:val="16"/>
        </w:rPr>
        <w:t xml:space="preserve"> </w:t>
      </w:r>
      <w:proofErr w:type="spellStart"/>
      <w:r>
        <w:rPr>
          <w:i/>
          <w:color w:val="231F20"/>
          <w:sz w:val="16"/>
          <w:szCs w:val="16"/>
        </w:rPr>
        <w:t>Tested</w:t>
      </w:r>
      <w:proofErr w:type="spellEnd"/>
      <w:r>
        <w:rPr>
          <w:i/>
          <w:color w:val="231F20"/>
          <w:sz w:val="16"/>
          <w:szCs w:val="16"/>
        </w:rPr>
        <w:t xml:space="preserve"> </w:t>
      </w:r>
      <w:proofErr w:type="spellStart"/>
      <w:r>
        <w:rPr>
          <w:i/>
          <w:color w:val="231F20"/>
          <w:sz w:val="16"/>
          <w:szCs w:val="16"/>
        </w:rPr>
        <w:t>Results</w:t>
      </w:r>
      <w:proofErr w:type="spellEnd"/>
      <w:r>
        <w:rPr>
          <w:i/>
          <w:color w:val="231F20"/>
          <w:sz w:val="16"/>
          <w:szCs w:val="16"/>
        </w:rPr>
        <w:t>. MDPI.</w:t>
      </w:r>
    </w:p>
    <w:p w:rsidR="00BF7DF3" w:rsidRDefault="009709B5">
      <w:pPr>
        <w:spacing w:line="276" w:lineRule="auto"/>
        <w:ind w:right="324"/>
        <w:jc w:val="both"/>
        <w:rPr>
          <w:i/>
          <w:color w:val="231F20"/>
          <w:sz w:val="16"/>
          <w:szCs w:val="16"/>
        </w:rPr>
      </w:pPr>
      <w:r>
        <w:rPr>
          <w:color w:val="231F20"/>
          <w:sz w:val="16"/>
          <w:szCs w:val="16"/>
        </w:rPr>
        <w:t>Cruz-</w:t>
      </w:r>
      <w:proofErr w:type="spellStart"/>
      <w:r>
        <w:rPr>
          <w:color w:val="231F20"/>
          <w:sz w:val="16"/>
          <w:szCs w:val="16"/>
        </w:rPr>
        <w:t>Daravina</w:t>
      </w:r>
      <w:proofErr w:type="spellEnd"/>
      <w:r>
        <w:rPr>
          <w:color w:val="231F20"/>
          <w:sz w:val="16"/>
          <w:szCs w:val="16"/>
        </w:rPr>
        <w:t xml:space="preserve">, Paola Andrea. J. P. (2021). </w:t>
      </w:r>
      <w:proofErr w:type="spellStart"/>
      <w:r>
        <w:rPr>
          <w:i/>
          <w:color w:val="231F20"/>
          <w:sz w:val="16"/>
          <w:szCs w:val="16"/>
        </w:rPr>
        <w:t>Freight</w:t>
      </w:r>
      <w:proofErr w:type="spellEnd"/>
      <w:r>
        <w:rPr>
          <w:i/>
          <w:color w:val="231F20"/>
          <w:sz w:val="16"/>
          <w:szCs w:val="16"/>
        </w:rPr>
        <w:t xml:space="preserve"> </w:t>
      </w:r>
      <w:proofErr w:type="spellStart"/>
      <w:r>
        <w:rPr>
          <w:i/>
          <w:color w:val="231F20"/>
          <w:sz w:val="16"/>
          <w:szCs w:val="16"/>
        </w:rPr>
        <w:t>operations</w:t>
      </w:r>
      <w:proofErr w:type="spellEnd"/>
      <w:r>
        <w:rPr>
          <w:i/>
          <w:color w:val="231F20"/>
          <w:sz w:val="16"/>
          <w:szCs w:val="16"/>
        </w:rPr>
        <w:t xml:space="preserve"> in </w:t>
      </w:r>
      <w:proofErr w:type="spellStart"/>
      <w:r>
        <w:rPr>
          <w:i/>
          <w:color w:val="231F20"/>
          <w:sz w:val="16"/>
          <w:szCs w:val="16"/>
        </w:rPr>
        <w:t>city</w:t>
      </w:r>
      <w:proofErr w:type="spellEnd"/>
      <w:r>
        <w:rPr>
          <w:i/>
          <w:color w:val="231F20"/>
          <w:sz w:val="16"/>
          <w:szCs w:val="16"/>
        </w:rPr>
        <w:t xml:space="preserve"> centers: A </w:t>
      </w:r>
      <w:proofErr w:type="spellStart"/>
      <w:r>
        <w:rPr>
          <w:i/>
          <w:color w:val="231F20"/>
          <w:sz w:val="16"/>
          <w:szCs w:val="16"/>
        </w:rPr>
        <w:t>land</w:t>
      </w:r>
      <w:proofErr w:type="spellEnd"/>
      <w:r>
        <w:rPr>
          <w:i/>
          <w:color w:val="231F20"/>
          <w:sz w:val="16"/>
          <w:szCs w:val="16"/>
        </w:rPr>
        <w:t xml:space="preserve"> use </w:t>
      </w:r>
      <w:proofErr w:type="spellStart"/>
      <w:r>
        <w:rPr>
          <w:i/>
          <w:color w:val="231F20"/>
          <w:sz w:val="16"/>
          <w:szCs w:val="16"/>
        </w:rPr>
        <w:t>conflict</w:t>
      </w:r>
      <w:proofErr w:type="spellEnd"/>
      <w:r>
        <w:rPr>
          <w:i/>
          <w:color w:val="231F20"/>
          <w:sz w:val="16"/>
          <w:szCs w:val="16"/>
        </w:rPr>
        <w:t xml:space="preserve"> in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planning</w:t>
      </w:r>
      <w:proofErr w:type="spellEnd"/>
      <w:r>
        <w:rPr>
          <w:i/>
          <w:color w:val="231F20"/>
          <w:sz w:val="16"/>
          <w:szCs w:val="16"/>
        </w:rPr>
        <w:t xml:space="preserve">. </w:t>
      </w:r>
      <w:proofErr w:type="spellStart"/>
      <w:r>
        <w:rPr>
          <w:i/>
          <w:color w:val="231F20"/>
          <w:sz w:val="16"/>
          <w:szCs w:val="16"/>
        </w:rPr>
        <w:t>Elsevier</w:t>
      </w:r>
      <w:proofErr w:type="spellEnd"/>
      <w:r>
        <w:rPr>
          <w:i/>
          <w:color w:val="231F20"/>
          <w:sz w:val="16"/>
          <w:szCs w:val="16"/>
        </w:rPr>
        <w:t>.</w:t>
      </w:r>
    </w:p>
    <w:p w:rsidR="00BF7DF3" w:rsidRDefault="009709B5">
      <w:pPr>
        <w:spacing w:line="276" w:lineRule="auto"/>
        <w:ind w:left="227" w:right="324"/>
        <w:jc w:val="both"/>
        <w:rPr>
          <w:color w:val="231F20"/>
          <w:sz w:val="16"/>
          <w:szCs w:val="16"/>
        </w:rPr>
      </w:pPr>
      <w:proofErr w:type="spellStart"/>
      <w:r>
        <w:rPr>
          <w:color w:val="231F20"/>
          <w:sz w:val="16"/>
          <w:szCs w:val="16"/>
        </w:rPr>
        <w:t>Ducret</w:t>
      </w:r>
      <w:proofErr w:type="spellEnd"/>
      <w:r>
        <w:rPr>
          <w:color w:val="231F20"/>
          <w:sz w:val="16"/>
          <w:szCs w:val="16"/>
        </w:rPr>
        <w:t xml:space="preserve">, </w:t>
      </w:r>
      <w:proofErr w:type="spellStart"/>
      <w:r>
        <w:rPr>
          <w:color w:val="231F20"/>
          <w:sz w:val="16"/>
          <w:szCs w:val="16"/>
        </w:rPr>
        <w:t>Raphaëlle</w:t>
      </w:r>
      <w:proofErr w:type="spellEnd"/>
      <w:r>
        <w:rPr>
          <w:color w:val="231F20"/>
          <w:sz w:val="16"/>
          <w:szCs w:val="16"/>
        </w:rPr>
        <w:t xml:space="preserve"> B. L. (2015). </w:t>
      </w:r>
      <w:proofErr w:type="spellStart"/>
      <w:r>
        <w:rPr>
          <w:i/>
          <w:color w:val="231F20"/>
          <w:sz w:val="16"/>
          <w:szCs w:val="16"/>
        </w:rPr>
        <w:t>Cluster</w:t>
      </w:r>
      <w:proofErr w:type="spellEnd"/>
      <w:r>
        <w:rPr>
          <w:i/>
          <w:color w:val="231F20"/>
          <w:sz w:val="16"/>
          <w:szCs w:val="16"/>
        </w:rPr>
        <w:t xml:space="preserve"> </w:t>
      </w:r>
      <w:proofErr w:type="spellStart"/>
      <w:r>
        <w:rPr>
          <w:i/>
          <w:color w:val="231F20"/>
          <w:sz w:val="16"/>
          <w:szCs w:val="16"/>
        </w:rPr>
        <w:t>analysis</w:t>
      </w:r>
      <w:proofErr w:type="spellEnd"/>
      <w:r>
        <w:rPr>
          <w:i/>
          <w:color w:val="231F20"/>
          <w:sz w:val="16"/>
          <w:szCs w:val="16"/>
        </w:rPr>
        <w:t xml:space="preserve"> and </w:t>
      </w:r>
      <w:proofErr w:type="spellStart"/>
      <w:r>
        <w:rPr>
          <w:i/>
          <w:color w:val="231F20"/>
          <w:sz w:val="16"/>
          <w:szCs w:val="16"/>
        </w:rPr>
        <w:t>spatial</w:t>
      </w:r>
      <w:proofErr w:type="spellEnd"/>
      <w:r>
        <w:rPr>
          <w:i/>
          <w:color w:val="231F20"/>
          <w:sz w:val="16"/>
          <w:szCs w:val="16"/>
        </w:rPr>
        <w:t xml:space="preserve"> </w:t>
      </w:r>
      <w:proofErr w:type="spellStart"/>
      <w:r>
        <w:rPr>
          <w:i/>
          <w:color w:val="231F20"/>
          <w:sz w:val="16"/>
          <w:szCs w:val="16"/>
        </w:rPr>
        <w:t>modeling</w:t>
      </w:r>
      <w:proofErr w:type="spellEnd"/>
      <w:r>
        <w:rPr>
          <w:i/>
          <w:color w:val="231F20"/>
          <w:sz w:val="16"/>
          <w:szCs w:val="16"/>
        </w:rPr>
        <w:t xml:space="preserve"> </w:t>
      </w:r>
      <w:proofErr w:type="spellStart"/>
      <w:r>
        <w:rPr>
          <w:i/>
          <w:color w:val="231F20"/>
          <w:sz w:val="16"/>
          <w:szCs w:val="16"/>
        </w:rPr>
        <w:t>for</w:t>
      </w:r>
      <w:proofErr w:type="spellEnd"/>
      <w:r>
        <w:rPr>
          <w:i/>
          <w:color w:val="231F20"/>
          <w:sz w:val="16"/>
          <w:szCs w:val="16"/>
        </w:rPr>
        <w:t xml:space="preserve">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freight</w:t>
      </w:r>
      <w:proofErr w:type="spellEnd"/>
      <w:r>
        <w:rPr>
          <w:i/>
          <w:color w:val="231F20"/>
          <w:sz w:val="16"/>
          <w:szCs w:val="16"/>
        </w:rPr>
        <w:t xml:space="preserve">. </w:t>
      </w:r>
      <w:proofErr w:type="spellStart"/>
      <w:r>
        <w:rPr>
          <w:i/>
          <w:color w:val="231F20"/>
          <w:sz w:val="16"/>
          <w:szCs w:val="16"/>
        </w:rPr>
        <w:t>Identifying</w:t>
      </w:r>
      <w:proofErr w:type="spellEnd"/>
      <w:r>
        <w:rPr>
          <w:i/>
          <w:color w:val="231F20"/>
          <w:sz w:val="16"/>
          <w:szCs w:val="16"/>
        </w:rPr>
        <w:t xml:space="preserve"> </w:t>
      </w:r>
      <w:proofErr w:type="spellStart"/>
      <w:r>
        <w:rPr>
          <w:i/>
          <w:color w:val="231F20"/>
          <w:sz w:val="16"/>
          <w:szCs w:val="16"/>
        </w:rPr>
        <w:t>homogeneous</w:t>
      </w:r>
      <w:proofErr w:type="spellEnd"/>
      <w:r>
        <w:rPr>
          <w:i/>
          <w:color w:val="231F20"/>
          <w:sz w:val="16"/>
          <w:szCs w:val="16"/>
        </w:rPr>
        <w:t xml:space="preserve">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zones</w:t>
      </w:r>
      <w:proofErr w:type="spellEnd"/>
      <w:r>
        <w:rPr>
          <w:i/>
          <w:color w:val="231F20"/>
          <w:sz w:val="16"/>
          <w:szCs w:val="16"/>
        </w:rPr>
        <w:t xml:space="preserve"> </w:t>
      </w:r>
      <w:proofErr w:type="spellStart"/>
      <w:r>
        <w:rPr>
          <w:i/>
          <w:color w:val="231F20"/>
          <w:sz w:val="16"/>
          <w:szCs w:val="16"/>
        </w:rPr>
        <w:t>based</w:t>
      </w:r>
      <w:proofErr w:type="spellEnd"/>
      <w:r>
        <w:rPr>
          <w:i/>
          <w:color w:val="231F20"/>
          <w:sz w:val="16"/>
          <w:szCs w:val="16"/>
        </w:rPr>
        <w:t xml:space="preserve"> </w:t>
      </w:r>
      <w:proofErr w:type="spellStart"/>
      <w:r>
        <w:rPr>
          <w:i/>
          <w:color w:val="231F20"/>
          <w:sz w:val="16"/>
          <w:szCs w:val="16"/>
        </w:rPr>
        <w:t>on</w:t>
      </w:r>
      <w:proofErr w:type="spellEnd"/>
      <w:r>
        <w:rPr>
          <w:i/>
          <w:color w:val="231F20"/>
          <w:sz w:val="16"/>
          <w:szCs w:val="16"/>
        </w:rPr>
        <w:t xml:space="preserve">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form</w:t>
      </w:r>
      <w:proofErr w:type="spellEnd"/>
      <w:r>
        <w:rPr>
          <w:i/>
          <w:color w:val="231F20"/>
          <w:sz w:val="16"/>
          <w:szCs w:val="16"/>
        </w:rPr>
        <w:t xml:space="preserve"> and </w:t>
      </w:r>
      <w:proofErr w:type="spellStart"/>
      <w:r>
        <w:rPr>
          <w:i/>
          <w:color w:val="231F20"/>
          <w:sz w:val="16"/>
          <w:szCs w:val="16"/>
        </w:rPr>
        <w:t>logistics</w:t>
      </w:r>
      <w:proofErr w:type="spellEnd"/>
      <w:r>
        <w:rPr>
          <w:i/>
          <w:color w:val="231F20"/>
          <w:sz w:val="16"/>
          <w:szCs w:val="16"/>
        </w:rPr>
        <w:t xml:space="preserve"> </w:t>
      </w:r>
      <w:proofErr w:type="spellStart"/>
      <w:r>
        <w:rPr>
          <w:i/>
          <w:color w:val="231F20"/>
          <w:sz w:val="16"/>
          <w:szCs w:val="16"/>
        </w:rPr>
        <w:t>characteristics</w:t>
      </w:r>
      <w:proofErr w:type="spellEnd"/>
      <w:r>
        <w:rPr>
          <w:i/>
          <w:color w:val="231F20"/>
          <w:sz w:val="16"/>
          <w:szCs w:val="16"/>
        </w:rPr>
        <w:t xml:space="preserve">. </w:t>
      </w:r>
      <w:proofErr w:type="spellStart"/>
      <w:r>
        <w:rPr>
          <w:i/>
          <w:color w:val="231F20"/>
          <w:sz w:val="16"/>
          <w:szCs w:val="16"/>
        </w:rPr>
        <w:t>Elsevier</w:t>
      </w:r>
      <w:proofErr w:type="spellEnd"/>
      <w:r>
        <w:rPr>
          <w:i/>
          <w:color w:val="231F20"/>
          <w:sz w:val="16"/>
          <w:szCs w:val="16"/>
        </w:rPr>
        <w:t>.</w:t>
      </w:r>
    </w:p>
    <w:p w:rsidR="00BF7DF3" w:rsidRDefault="009709B5">
      <w:pPr>
        <w:spacing w:line="276" w:lineRule="auto"/>
        <w:ind w:left="227" w:right="324"/>
        <w:jc w:val="both"/>
        <w:rPr>
          <w:i/>
          <w:color w:val="231F20"/>
          <w:sz w:val="16"/>
          <w:szCs w:val="16"/>
        </w:rPr>
      </w:pPr>
      <w:r>
        <w:rPr>
          <w:color w:val="231F20"/>
          <w:sz w:val="16"/>
          <w:szCs w:val="16"/>
        </w:rPr>
        <w:t xml:space="preserve">ENCLOSE. (2014). </w:t>
      </w:r>
      <w:proofErr w:type="spellStart"/>
      <w:r>
        <w:rPr>
          <w:i/>
          <w:color w:val="231F20"/>
          <w:sz w:val="16"/>
          <w:szCs w:val="16"/>
        </w:rPr>
        <w:t>Sustainable</w:t>
      </w:r>
      <w:proofErr w:type="spellEnd"/>
      <w:r>
        <w:rPr>
          <w:i/>
          <w:color w:val="231F20"/>
          <w:sz w:val="16"/>
          <w:szCs w:val="16"/>
        </w:rPr>
        <w:t xml:space="preserve">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Logistics</w:t>
      </w:r>
      <w:proofErr w:type="spellEnd"/>
      <w:r>
        <w:rPr>
          <w:i/>
          <w:color w:val="231F20"/>
          <w:sz w:val="16"/>
          <w:szCs w:val="16"/>
        </w:rPr>
        <w:t xml:space="preserve"> Plan </w:t>
      </w:r>
      <w:proofErr w:type="spellStart"/>
      <w:r>
        <w:rPr>
          <w:i/>
          <w:color w:val="231F20"/>
          <w:sz w:val="16"/>
          <w:szCs w:val="16"/>
        </w:rPr>
        <w:t>for</w:t>
      </w:r>
      <w:proofErr w:type="spellEnd"/>
      <w:r>
        <w:rPr>
          <w:i/>
          <w:color w:val="231F20"/>
          <w:sz w:val="16"/>
          <w:szCs w:val="16"/>
        </w:rPr>
        <w:t xml:space="preserve"> Dundee.</w:t>
      </w:r>
    </w:p>
    <w:p w:rsidR="00BF7DF3" w:rsidRDefault="009709B5">
      <w:pPr>
        <w:spacing w:line="276" w:lineRule="auto"/>
        <w:ind w:left="227" w:right="324"/>
        <w:jc w:val="both"/>
        <w:rPr>
          <w:color w:val="231F20"/>
          <w:sz w:val="16"/>
          <w:szCs w:val="16"/>
        </w:rPr>
      </w:pPr>
      <w:proofErr w:type="spellStart"/>
      <w:r>
        <w:rPr>
          <w:color w:val="231F20"/>
          <w:sz w:val="16"/>
          <w:szCs w:val="16"/>
        </w:rPr>
        <w:t>Europe</w:t>
      </w:r>
      <w:r>
        <w:rPr>
          <w:color w:val="231F20"/>
          <w:sz w:val="16"/>
          <w:szCs w:val="16"/>
        </w:rPr>
        <w:t>an</w:t>
      </w:r>
      <w:proofErr w:type="spellEnd"/>
      <w:r>
        <w:rPr>
          <w:color w:val="231F20"/>
          <w:sz w:val="16"/>
          <w:szCs w:val="16"/>
        </w:rPr>
        <w:t xml:space="preserve"> </w:t>
      </w:r>
      <w:proofErr w:type="spellStart"/>
      <w:r>
        <w:rPr>
          <w:color w:val="231F20"/>
          <w:sz w:val="16"/>
          <w:szCs w:val="16"/>
        </w:rPr>
        <w:t>Environment</w:t>
      </w:r>
      <w:proofErr w:type="spellEnd"/>
      <w:r>
        <w:rPr>
          <w:color w:val="231F20"/>
          <w:sz w:val="16"/>
          <w:szCs w:val="16"/>
        </w:rPr>
        <w:t xml:space="preserve"> Agency. (2019). </w:t>
      </w:r>
      <w:proofErr w:type="spellStart"/>
      <w:r>
        <w:rPr>
          <w:i/>
          <w:color w:val="231F20"/>
          <w:sz w:val="16"/>
          <w:szCs w:val="16"/>
        </w:rPr>
        <w:t>The</w:t>
      </w:r>
      <w:proofErr w:type="spellEnd"/>
      <w:r>
        <w:rPr>
          <w:i/>
          <w:color w:val="231F20"/>
          <w:sz w:val="16"/>
          <w:szCs w:val="16"/>
        </w:rPr>
        <w:t xml:space="preserve"> </w:t>
      </w:r>
      <w:proofErr w:type="spellStart"/>
      <w:r>
        <w:rPr>
          <w:i/>
          <w:color w:val="231F20"/>
          <w:sz w:val="16"/>
          <w:szCs w:val="16"/>
        </w:rPr>
        <w:t>first</w:t>
      </w:r>
      <w:proofErr w:type="spellEnd"/>
      <w:r>
        <w:rPr>
          <w:i/>
          <w:color w:val="231F20"/>
          <w:sz w:val="16"/>
          <w:szCs w:val="16"/>
        </w:rPr>
        <w:t xml:space="preserve"> and </w:t>
      </w:r>
      <w:proofErr w:type="spellStart"/>
      <w:r>
        <w:rPr>
          <w:i/>
          <w:color w:val="231F20"/>
          <w:sz w:val="16"/>
          <w:szCs w:val="16"/>
        </w:rPr>
        <w:t>last</w:t>
      </w:r>
      <w:proofErr w:type="spellEnd"/>
      <w:r>
        <w:rPr>
          <w:i/>
          <w:color w:val="231F20"/>
          <w:sz w:val="16"/>
          <w:szCs w:val="16"/>
        </w:rPr>
        <w:t xml:space="preserve"> </w:t>
      </w:r>
      <w:proofErr w:type="spellStart"/>
      <w:r>
        <w:rPr>
          <w:i/>
          <w:color w:val="231F20"/>
          <w:sz w:val="16"/>
          <w:szCs w:val="16"/>
        </w:rPr>
        <w:t>mile</w:t>
      </w:r>
      <w:proofErr w:type="spellEnd"/>
      <w:r>
        <w:rPr>
          <w:i/>
          <w:color w:val="231F20"/>
          <w:sz w:val="16"/>
          <w:szCs w:val="16"/>
        </w:rPr>
        <w:t xml:space="preserve"> — </w:t>
      </w:r>
      <w:proofErr w:type="spellStart"/>
      <w:r>
        <w:rPr>
          <w:i/>
          <w:color w:val="231F20"/>
          <w:sz w:val="16"/>
          <w:szCs w:val="16"/>
        </w:rPr>
        <w:t>the</w:t>
      </w:r>
      <w:proofErr w:type="spellEnd"/>
      <w:r>
        <w:rPr>
          <w:i/>
          <w:color w:val="231F20"/>
          <w:sz w:val="16"/>
          <w:szCs w:val="16"/>
        </w:rPr>
        <w:t xml:space="preserve"> </w:t>
      </w:r>
      <w:proofErr w:type="spellStart"/>
      <w:r>
        <w:rPr>
          <w:i/>
          <w:color w:val="231F20"/>
          <w:sz w:val="16"/>
          <w:szCs w:val="16"/>
        </w:rPr>
        <w:t>key</w:t>
      </w:r>
      <w:proofErr w:type="spellEnd"/>
      <w:r>
        <w:rPr>
          <w:i/>
          <w:color w:val="231F20"/>
          <w:sz w:val="16"/>
          <w:szCs w:val="16"/>
        </w:rPr>
        <w:t xml:space="preserve"> to </w:t>
      </w:r>
      <w:proofErr w:type="spellStart"/>
      <w:r>
        <w:rPr>
          <w:i/>
          <w:color w:val="231F20"/>
          <w:sz w:val="16"/>
          <w:szCs w:val="16"/>
        </w:rPr>
        <w:t>sustainable</w:t>
      </w:r>
      <w:proofErr w:type="spellEnd"/>
      <w:r>
        <w:rPr>
          <w:i/>
          <w:color w:val="231F20"/>
          <w:sz w:val="16"/>
          <w:szCs w:val="16"/>
        </w:rPr>
        <w:t xml:space="preserve">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transport</w:t>
      </w:r>
      <w:proofErr w:type="spellEnd"/>
      <w:r>
        <w:rPr>
          <w:i/>
          <w:color w:val="231F20"/>
          <w:sz w:val="16"/>
          <w:szCs w:val="16"/>
        </w:rPr>
        <w:t>.</w:t>
      </w:r>
    </w:p>
    <w:p w:rsidR="00BF7DF3" w:rsidRDefault="009709B5">
      <w:pPr>
        <w:spacing w:line="276" w:lineRule="auto"/>
        <w:ind w:left="227" w:right="324"/>
        <w:jc w:val="both"/>
        <w:rPr>
          <w:i/>
          <w:color w:val="231F20"/>
          <w:sz w:val="16"/>
          <w:szCs w:val="16"/>
        </w:rPr>
      </w:pPr>
      <w:proofErr w:type="spellStart"/>
      <w:r>
        <w:rPr>
          <w:color w:val="231F20"/>
          <w:sz w:val="16"/>
          <w:szCs w:val="16"/>
        </w:rPr>
        <w:t>Fredrik</w:t>
      </w:r>
      <w:proofErr w:type="spellEnd"/>
      <w:r>
        <w:rPr>
          <w:color w:val="231F20"/>
          <w:sz w:val="16"/>
          <w:szCs w:val="16"/>
        </w:rPr>
        <w:t xml:space="preserve"> </w:t>
      </w:r>
      <w:proofErr w:type="spellStart"/>
      <w:r>
        <w:rPr>
          <w:color w:val="231F20"/>
          <w:sz w:val="16"/>
          <w:szCs w:val="16"/>
        </w:rPr>
        <w:t>Pettersson</w:t>
      </w:r>
      <w:proofErr w:type="spellEnd"/>
      <w:r>
        <w:rPr>
          <w:color w:val="231F20"/>
          <w:sz w:val="16"/>
          <w:szCs w:val="16"/>
        </w:rPr>
        <w:t>, L. W. (2018</w:t>
      </w:r>
      <w:r>
        <w:rPr>
          <w:i/>
          <w:color w:val="231F20"/>
          <w:sz w:val="16"/>
          <w:szCs w:val="16"/>
        </w:rPr>
        <w:t>). E-</w:t>
      </w:r>
      <w:proofErr w:type="spellStart"/>
      <w:r>
        <w:rPr>
          <w:i/>
          <w:color w:val="231F20"/>
          <w:sz w:val="16"/>
          <w:szCs w:val="16"/>
        </w:rPr>
        <w:t>commerce</w:t>
      </w:r>
      <w:proofErr w:type="spellEnd"/>
      <w:r>
        <w:rPr>
          <w:i/>
          <w:color w:val="231F20"/>
          <w:sz w:val="16"/>
          <w:szCs w:val="16"/>
        </w:rPr>
        <w:t xml:space="preserve"> and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planning</w:t>
      </w:r>
      <w:proofErr w:type="spellEnd"/>
      <w:r>
        <w:rPr>
          <w:i/>
          <w:color w:val="231F20"/>
          <w:sz w:val="16"/>
          <w:szCs w:val="16"/>
        </w:rPr>
        <w:t xml:space="preserve"> – </w:t>
      </w:r>
      <w:proofErr w:type="spellStart"/>
      <w:r>
        <w:rPr>
          <w:i/>
          <w:color w:val="231F20"/>
          <w:sz w:val="16"/>
          <w:szCs w:val="16"/>
        </w:rPr>
        <w:t>comparing</w:t>
      </w:r>
      <w:proofErr w:type="spellEnd"/>
      <w:r>
        <w:rPr>
          <w:i/>
          <w:color w:val="231F20"/>
          <w:sz w:val="16"/>
          <w:szCs w:val="16"/>
        </w:rPr>
        <w:t xml:space="preserve"> </w:t>
      </w:r>
      <w:proofErr w:type="spellStart"/>
      <w:r>
        <w:rPr>
          <w:i/>
          <w:color w:val="231F20"/>
          <w:sz w:val="16"/>
          <w:szCs w:val="16"/>
        </w:rPr>
        <w:t>knowledge</w:t>
      </w:r>
      <w:proofErr w:type="spellEnd"/>
      <w:r>
        <w:rPr>
          <w:i/>
          <w:color w:val="231F20"/>
          <w:sz w:val="16"/>
          <w:szCs w:val="16"/>
        </w:rPr>
        <w:t xml:space="preserve"> </w:t>
      </w:r>
      <w:proofErr w:type="spellStart"/>
      <w:r>
        <w:rPr>
          <w:i/>
          <w:color w:val="231F20"/>
          <w:sz w:val="16"/>
          <w:szCs w:val="16"/>
        </w:rPr>
        <w:t>claims</w:t>
      </w:r>
      <w:proofErr w:type="spellEnd"/>
      <w:r>
        <w:rPr>
          <w:i/>
          <w:color w:val="231F20"/>
          <w:sz w:val="16"/>
          <w:szCs w:val="16"/>
        </w:rPr>
        <w:t xml:space="preserve"> in </w:t>
      </w:r>
      <w:proofErr w:type="spellStart"/>
      <w:r>
        <w:rPr>
          <w:i/>
          <w:color w:val="231F20"/>
          <w:sz w:val="16"/>
          <w:szCs w:val="16"/>
        </w:rPr>
        <w:t>research</w:t>
      </w:r>
      <w:proofErr w:type="spellEnd"/>
      <w:r>
        <w:rPr>
          <w:i/>
          <w:color w:val="231F20"/>
          <w:sz w:val="16"/>
          <w:szCs w:val="16"/>
        </w:rPr>
        <w:t xml:space="preserve"> and </w:t>
      </w:r>
      <w:proofErr w:type="spellStart"/>
      <w:r>
        <w:rPr>
          <w:i/>
          <w:color w:val="231F20"/>
          <w:sz w:val="16"/>
          <w:szCs w:val="16"/>
        </w:rPr>
        <w:t>planning</w:t>
      </w:r>
      <w:proofErr w:type="spellEnd"/>
      <w:r>
        <w:rPr>
          <w:i/>
          <w:color w:val="231F20"/>
          <w:sz w:val="16"/>
          <w:szCs w:val="16"/>
        </w:rPr>
        <w:t xml:space="preserve"> </w:t>
      </w:r>
      <w:proofErr w:type="spellStart"/>
      <w:r>
        <w:rPr>
          <w:i/>
          <w:color w:val="231F20"/>
          <w:sz w:val="16"/>
          <w:szCs w:val="16"/>
        </w:rPr>
        <w:t>practice</w:t>
      </w:r>
      <w:proofErr w:type="spellEnd"/>
      <w:r>
        <w:rPr>
          <w:i/>
          <w:color w:val="231F20"/>
          <w:sz w:val="16"/>
          <w:szCs w:val="16"/>
        </w:rPr>
        <w:t xml:space="preserve">. Taylor &amp; Francis </w:t>
      </w:r>
      <w:proofErr w:type="spellStart"/>
      <w:r>
        <w:rPr>
          <w:i/>
          <w:color w:val="231F20"/>
          <w:sz w:val="16"/>
          <w:szCs w:val="16"/>
        </w:rPr>
        <w:t>Group</w:t>
      </w:r>
      <w:proofErr w:type="spellEnd"/>
      <w:r>
        <w:rPr>
          <w:i/>
          <w:color w:val="231F20"/>
          <w:sz w:val="16"/>
          <w:szCs w:val="16"/>
        </w:rPr>
        <w:t>.</w:t>
      </w:r>
    </w:p>
    <w:p w:rsidR="00BF7DF3" w:rsidRDefault="009709B5">
      <w:pPr>
        <w:spacing w:line="276" w:lineRule="auto"/>
        <w:ind w:left="227" w:right="324"/>
        <w:jc w:val="both"/>
        <w:rPr>
          <w:i/>
          <w:color w:val="231F20"/>
          <w:sz w:val="16"/>
          <w:szCs w:val="16"/>
        </w:rPr>
      </w:pPr>
      <w:proofErr w:type="spellStart"/>
      <w:r>
        <w:rPr>
          <w:color w:val="231F20"/>
          <w:sz w:val="16"/>
          <w:szCs w:val="16"/>
        </w:rPr>
        <w:t>Holguin</w:t>
      </w:r>
      <w:proofErr w:type="spellEnd"/>
      <w:r>
        <w:rPr>
          <w:color w:val="231F20"/>
          <w:sz w:val="16"/>
          <w:szCs w:val="16"/>
        </w:rPr>
        <w:t xml:space="preserve">-Veras, J., Amaya-Leal, J., </w:t>
      </w:r>
      <w:proofErr w:type="spellStart"/>
      <w:r>
        <w:rPr>
          <w:color w:val="231F20"/>
          <w:sz w:val="16"/>
          <w:szCs w:val="16"/>
        </w:rPr>
        <w:t>Wojtowicz</w:t>
      </w:r>
      <w:proofErr w:type="spellEnd"/>
      <w:r>
        <w:rPr>
          <w:color w:val="231F20"/>
          <w:sz w:val="16"/>
          <w:szCs w:val="16"/>
        </w:rPr>
        <w:t xml:space="preserve">, J., </w:t>
      </w:r>
      <w:proofErr w:type="spellStart"/>
      <w:r>
        <w:rPr>
          <w:color w:val="231F20"/>
          <w:sz w:val="16"/>
          <w:szCs w:val="16"/>
        </w:rPr>
        <w:t>Jaller</w:t>
      </w:r>
      <w:proofErr w:type="spellEnd"/>
      <w:r>
        <w:rPr>
          <w:color w:val="231F20"/>
          <w:sz w:val="16"/>
          <w:szCs w:val="16"/>
        </w:rPr>
        <w:t xml:space="preserve">, M. G.-C., S </w:t>
      </w:r>
      <w:proofErr w:type="spellStart"/>
      <w:r>
        <w:rPr>
          <w:color w:val="231F20"/>
          <w:sz w:val="16"/>
          <w:szCs w:val="16"/>
        </w:rPr>
        <w:t>nchez</w:t>
      </w:r>
      <w:proofErr w:type="spellEnd"/>
      <w:r>
        <w:rPr>
          <w:color w:val="231F20"/>
          <w:sz w:val="16"/>
          <w:szCs w:val="16"/>
        </w:rPr>
        <w:t xml:space="preserve">-D </w:t>
      </w:r>
      <w:proofErr w:type="spellStart"/>
      <w:r>
        <w:rPr>
          <w:color w:val="231F20"/>
          <w:sz w:val="16"/>
          <w:szCs w:val="16"/>
        </w:rPr>
        <w:t>az</w:t>
      </w:r>
      <w:proofErr w:type="spellEnd"/>
      <w:r>
        <w:rPr>
          <w:color w:val="231F20"/>
          <w:sz w:val="16"/>
          <w:szCs w:val="16"/>
        </w:rPr>
        <w:t>, I. n., Wang, X., . . . Br, a. M. (2015).</w:t>
      </w:r>
      <w:r>
        <w:rPr>
          <w:i/>
          <w:color w:val="231F20"/>
          <w:sz w:val="16"/>
          <w:szCs w:val="16"/>
        </w:rPr>
        <w:t xml:space="preserve"> </w:t>
      </w:r>
      <w:proofErr w:type="spellStart"/>
      <w:r>
        <w:rPr>
          <w:i/>
          <w:color w:val="231F20"/>
          <w:sz w:val="16"/>
          <w:szCs w:val="16"/>
        </w:rPr>
        <w:t>Improving</w:t>
      </w:r>
      <w:proofErr w:type="spellEnd"/>
      <w:r>
        <w:rPr>
          <w:i/>
          <w:color w:val="231F20"/>
          <w:sz w:val="16"/>
          <w:szCs w:val="16"/>
        </w:rPr>
        <w:t xml:space="preserve"> </w:t>
      </w:r>
      <w:proofErr w:type="spellStart"/>
      <w:r>
        <w:rPr>
          <w:i/>
          <w:color w:val="231F20"/>
          <w:sz w:val="16"/>
          <w:szCs w:val="16"/>
        </w:rPr>
        <w:t>Freight</w:t>
      </w:r>
      <w:proofErr w:type="spellEnd"/>
      <w:r>
        <w:rPr>
          <w:i/>
          <w:color w:val="231F20"/>
          <w:sz w:val="16"/>
          <w:szCs w:val="16"/>
        </w:rPr>
        <w:t xml:space="preserve"> </w:t>
      </w:r>
      <w:proofErr w:type="spellStart"/>
      <w:r>
        <w:rPr>
          <w:i/>
          <w:color w:val="231F20"/>
          <w:sz w:val="16"/>
          <w:szCs w:val="16"/>
        </w:rPr>
        <w:t>System</w:t>
      </w:r>
      <w:proofErr w:type="spellEnd"/>
      <w:r>
        <w:rPr>
          <w:i/>
          <w:color w:val="231F20"/>
          <w:sz w:val="16"/>
          <w:szCs w:val="16"/>
        </w:rPr>
        <w:t xml:space="preserve"> Performance in </w:t>
      </w:r>
      <w:proofErr w:type="spellStart"/>
      <w:r>
        <w:rPr>
          <w:i/>
          <w:color w:val="231F20"/>
          <w:sz w:val="16"/>
          <w:szCs w:val="16"/>
        </w:rPr>
        <w:t>Metropolitan</w:t>
      </w:r>
      <w:proofErr w:type="spellEnd"/>
      <w:r>
        <w:rPr>
          <w:i/>
          <w:color w:val="231F20"/>
          <w:sz w:val="16"/>
          <w:szCs w:val="16"/>
        </w:rPr>
        <w:t xml:space="preserve"> </w:t>
      </w:r>
      <w:proofErr w:type="spellStart"/>
      <w:r>
        <w:rPr>
          <w:i/>
          <w:color w:val="231F20"/>
          <w:sz w:val="16"/>
          <w:szCs w:val="16"/>
        </w:rPr>
        <w:t>Areas</w:t>
      </w:r>
      <w:proofErr w:type="spellEnd"/>
      <w:r>
        <w:rPr>
          <w:i/>
          <w:color w:val="231F20"/>
          <w:sz w:val="16"/>
          <w:szCs w:val="16"/>
        </w:rPr>
        <w:t>. THE NATIONAL ACADEMIES PRESS.</w:t>
      </w:r>
    </w:p>
    <w:p w:rsidR="00BF7DF3" w:rsidRDefault="009709B5">
      <w:pPr>
        <w:spacing w:line="276" w:lineRule="auto"/>
        <w:ind w:left="227" w:right="324"/>
        <w:jc w:val="both"/>
        <w:rPr>
          <w:i/>
          <w:color w:val="231F20"/>
          <w:sz w:val="16"/>
          <w:szCs w:val="16"/>
        </w:rPr>
      </w:pPr>
      <w:proofErr w:type="spellStart"/>
      <w:r>
        <w:rPr>
          <w:color w:val="231F20"/>
          <w:sz w:val="16"/>
          <w:szCs w:val="16"/>
        </w:rPr>
        <w:t>Krasovskaya</w:t>
      </w:r>
      <w:proofErr w:type="spellEnd"/>
      <w:r>
        <w:rPr>
          <w:color w:val="231F20"/>
          <w:sz w:val="16"/>
          <w:szCs w:val="16"/>
        </w:rPr>
        <w:t xml:space="preserve">, </w:t>
      </w:r>
      <w:proofErr w:type="spellStart"/>
      <w:r>
        <w:rPr>
          <w:color w:val="231F20"/>
          <w:sz w:val="16"/>
          <w:szCs w:val="16"/>
        </w:rPr>
        <w:t>Inna</w:t>
      </w:r>
      <w:proofErr w:type="spellEnd"/>
      <w:r>
        <w:rPr>
          <w:color w:val="231F20"/>
          <w:sz w:val="16"/>
          <w:szCs w:val="16"/>
        </w:rPr>
        <w:t xml:space="preserve">. E. S. (2021). </w:t>
      </w:r>
      <w:proofErr w:type="spellStart"/>
      <w:r>
        <w:rPr>
          <w:i/>
          <w:color w:val="231F20"/>
          <w:sz w:val="16"/>
          <w:szCs w:val="16"/>
        </w:rPr>
        <w:t>Scientific</w:t>
      </w:r>
      <w:proofErr w:type="spellEnd"/>
      <w:r>
        <w:rPr>
          <w:i/>
          <w:color w:val="231F20"/>
          <w:sz w:val="16"/>
          <w:szCs w:val="16"/>
        </w:rPr>
        <w:t xml:space="preserve"> and </w:t>
      </w:r>
      <w:proofErr w:type="spellStart"/>
      <w:r>
        <w:rPr>
          <w:i/>
          <w:color w:val="231F20"/>
          <w:sz w:val="16"/>
          <w:szCs w:val="16"/>
        </w:rPr>
        <w:t>practical</w:t>
      </w:r>
      <w:proofErr w:type="spellEnd"/>
      <w:r>
        <w:rPr>
          <w:i/>
          <w:color w:val="231F20"/>
          <w:sz w:val="16"/>
          <w:szCs w:val="16"/>
        </w:rPr>
        <w:t xml:space="preserve"> </w:t>
      </w:r>
      <w:proofErr w:type="spellStart"/>
      <w:r>
        <w:rPr>
          <w:i/>
          <w:color w:val="231F20"/>
          <w:sz w:val="16"/>
          <w:szCs w:val="16"/>
        </w:rPr>
        <w:t>foundations</w:t>
      </w:r>
      <w:proofErr w:type="spellEnd"/>
      <w:r>
        <w:rPr>
          <w:i/>
          <w:color w:val="231F20"/>
          <w:sz w:val="16"/>
          <w:szCs w:val="16"/>
        </w:rPr>
        <w:t xml:space="preserve"> and </w:t>
      </w:r>
      <w:proofErr w:type="spellStart"/>
      <w:r>
        <w:rPr>
          <w:i/>
          <w:color w:val="231F20"/>
          <w:sz w:val="16"/>
          <w:szCs w:val="16"/>
        </w:rPr>
        <w:t>business</w:t>
      </w:r>
      <w:proofErr w:type="spellEnd"/>
      <w:r>
        <w:rPr>
          <w:i/>
          <w:color w:val="231F20"/>
          <w:sz w:val="16"/>
          <w:szCs w:val="16"/>
        </w:rPr>
        <w:t xml:space="preserve"> </w:t>
      </w:r>
      <w:proofErr w:type="spellStart"/>
      <w:r>
        <w:rPr>
          <w:i/>
          <w:color w:val="231F20"/>
          <w:sz w:val="16"/>
          <w:szCs w:val="16"/>
        </w:rPr>
        <w:t>processes</w:t>
      </w:r>
      <w:proofErr w:type="spellEnd"/>
      <w:r>
        <w:rPr>
          <w:i/>
          <w:color w:val="231F20"/>
          <w:sz w:val="16"/>
          <w:szCs w:val="16"/>
        </w:rPr>
        <w:t xml:space="preserve"> </w:t>
      </w:r>
      <w:proofErr w:type="spellStart"/>
      <w:r>
        <w:rPr>
          <w:i/>
          <w:color w:val="231F20"/>
          <w:sz w:val="16"/>
          <w:szCs w:val="16"/>
        </w:rPr>
        <w:t>for</w:t>
      </w:r>
      <w:proofErr w:type="spellEnd"/>
      <w:r>
        <w:rPr>
          <w:i/>
          <w:color w:val="231F20"/>
          <w:sz w:val="16"/>
          <w:szCs w:val="16"/>
        </w:rPr>
        <w:t xml:space="preserve"> </w:t>
      </w:r>
      <w:proofErr w:type="spellStart"/>
      <w:r>
        <w:rPr>
          <w:i/>
          <w:color w:val="231F20"/>
          <w:sz w:val="16"/>
          <w:szCs w:val="16"/>
        </w:rPr>
        <w:t>the</w:t>
      </w:r>
      <w:proofErr w:type="spellEnd"/>
      <w:r>
        <w:rPr>
          <w:i/>
          <w:color w:val="231F20"/>
          <w:sz w:val="16"/>
          <w:szCs w:val="16"/>
        </w:rPr>
        <w:t xml:space="preserve"> </w:t>
      </w:r>
      <w:proofErr w:type="spellStart"/>
      <w:r>
        <w:rPr>
          <w:i/>
          <w:color w:val="231F20"/>
          <w:sz w:val="16"/>
          <w:szCs w:val="16"/>
        </w:rPr>
        <w:t>sustainable</w:t>
      </w:r>
      <w:proofErr w:type="spellEnd"/>
      <w:r>
        <w:rPr>
          <w:i/>
          <w:color w:val="231F20"/>
          <w:sz w:val="16"/>
          <w:szCs w:val="16"/>
        </w:rPr>
        <w:t xml:space="preserve"> </w:t>
      </w:r>
      <w:proofErr w:type="spellStart"/>
      <w:r>
        <w:rPr>
          <w:i/>
          <w:color w:val="231F20"/>
          <w:sz w:val="16"/>
          <w:szCs w:val="16"/>
        </w:rPr>
        <w:t>development</w:t>
      </w:r>
      <w:proofErr w:type="spellEnd"/>
      <w:r>
        <w:rPr>
          <w:i/>
          <w:color w:val="231F20"/>
          <w:sz w:val="16"/>
          <w:szCs w:val="16"/>
        </w:rPr>
        <w:t xml:space="preserve"> of Smart City. EDP </w:t>
      </w:r>
      <w:proofErr w:type="spellStart"/>
      <w:r>
        <w:rPr>
          <w:i/>
          <w:color w:val="231F20"/>
          <w:sz w:val="16"/>
          <w:szCs w:val="16"/>
        </w:rPr>
        <w:t>Sciences</w:t>
      </w:r>
      <w:proofErr w:type="spellEnd"/>
      <w:r>
        <w:rPr>
          <w:i/>
          <w:color w:val="231F20"/>
          <w:sz w:val="16"/>
          <w:szCs w:val="16"/>
        </w:rPr>
        <w:t>.</w:t>
      </w:r>
    </w:p>
    <w:p w:rsidR="00BF7DF3" w:rsidRDefault="009709B5">
      <w:pPr>
        <w:spacing w:line="276" w:lineRule="auto"/>
        <w:ind w:left="227" w:right="324"/>
        <w:jc w:val="both"/>
        <w:rPr>
          <w:color w:val="231F20"/>
          <w:sz w:val="16"/>
          <w:szCs w:val="16"/>
        </w:rPr>
      </w:pPr>
      <w:proofErr w:type="spellStart"/>
      <w:r>
        <w:rPr>
          <w:color w:val="231F20"/>
          <w:sz w:val="16"/>
          <w:szCs w:val="16"/>
        </w:rPr>
        <w:t>Morganti</w:t>
      </w:r>
      <w:proofErr w:type="spellEnd"/>
      <w:r>
        <w:rPr>
          <w:color w:val="231F20"/>
          <w:sz w:val="16"/>
          <w:szCs w:val="16"/>
        </w:rPr>
        <w:t xml:space="preserve">. Eleonora, </w:t>
      </w:r>
      <w:proofErr w:type="spellStart"/>
      <w:r>
        <w:rPr>
          <w:color w:val="231F20"/>
          <w:sz w:val="16"/>
          <w:szCs w:val="16"/>
        </w:rPr>
        <w:t>Seidel</w:t>
      </w:r>
      <w:proofErr w:type="spellEnd"/>
      <w:r>
        <w:rPr>
          <w:color w:val="231F20"/>
          <w:sz w:val="16"/>
          <w:szCs w:val="16"/>
        </w:rPr>
        <w:t xml:space="preserve">. </w:t>
      </w:r>
      <w:proofErr w:type="spellStart"/>
      <w:r>
        <w:rPr>
          <w:color w:val="231F20"/>
          <w:sz w:val="16"/>
          <w:szCs w:val="16"/>
        </w:rPr>
        <w:t>Saskia</w:t>
      </w:r>
      <w:proofErr w:type="spellEnd"/>
      <w:r>
        <w:rPr>
          <w:color w:val="231F20"/>
          <w:sz w:val="16"/>
          <w:szCs w:val="16"/>
        </w:rPr>
        <w:t xml:space="preserve">, </w:t>
      </w:r>
      <w:proofErr w:type="spellStart"/>
      <w:r>
        <w:rPr>
          <w:color w:val="231F20"/>
          <w:sz w:val="16"/>
          <w:szCs w:val="16"/>
        </w:rPr>
        <w:t>Blanquart</w:t>
      </w:r>
      <w:proofErr w:type="spellEnd"/>
      <w:r>
        <w:rPr>
          <w:color w:val="231F20"/>
          <w:sz w:val="16"/>
          <w:szCs w:val="16"/>
        </w:rPr>
        <w:t xml:space="preserve">. C, L. </w:t>
      </w:r>
      <w:proofErr w:type="spellStart"/>
      <w:r>
        <w:rPr>
          <w:color w:val="231F20"/>
          <w:sz w:val="16"/>
          <w:szCs w:val="16"/>
        </w:rPr>
        <w:t>Dablanc</w:t>
      </w:r>
      <w:proofErr w:type="spellEnd"/>
      <w:r>
        <w:rPr>
          <w:color w:val="231F20"/>
          <w:sz w:val="16"/>
          <w:szCs w:val="16"/>
        </w:rPr>
        <w:t xml:space="preserve">, B. </w:t>
      </w:r>
    </w:p>
    <w:p w:rsidR="00BF7DF3" w:rsidRDefault="009709B5">
      <w:pPr>
        <w:spacing w:line="276" w:lineRule="auto"/>
        <w:ind w:left="227" w:right="324"/>
        <w:jc w:val="both"/>
        <w:rPr>
          <w:i/>
          <w:color w:val="231F20"/>
          <w:sz w:val="16"/>
          <w:szCs w:val="16"/>
        </w:rPr>
      </w:pPr>
      <w:proofErr w:type="spellStart"/>
      <w:r>
        <w:rPr>
          <w:color w:val="231F20"/>
          <w:sz w:val="16"/>
          <w:szCs w:val="16"/>
        </w:rPr>
        <w:t>Letnik</w:t>
      </w:r>
      <w:proofErr w:type="spellEnd"/>
      <w:r>
        <w:rPr>
          <w:color w:val="231F20"/>
          <w:sz w:val="16"/>
          <w:szCs w:val="16"/>
        </w:rPr>
        <w:t xml:space="preserve">, T. M. (2018). </w:t>
      </w:r>
      <w:proofErr w:type="spellStart"/>
      <w:r>
        <w:rPr>
          <w:i/>
          <w:color w:val="231F20"/>
          <w:sz w:val="16"/>
          <w:szCs w:val="16"/>
        </w:rPr>
        <w:t>Review</w:t>
      </w:r>
      <w:proofErr w:type="spellEnd"/>
      <w:r>
        <w:rPr>
          <w:i/>
          <w:color w:val="231F20"/>
          <w:sz w:val="16"/>
          <w:szCs w:val="16"/>
        </w:rPr>
        <w:t xml:space="preserve"> of </w:t>
      </w:r>
      <w:proofErr w:type="spellStart"/>
      <w:r>
        <w:rPr>
          <w:i/>
          <w:color w:val="231F20"/>
          <w:sz w:val="16"/>
          <w:szCs w:val="16"/>
        </w:rPr>
        <w:t>policies</w:t>
      </w:r>
      <w:proofErr w:type="spellEnd"/>
      <w:r>
        <w:rPr>
          <w:i/>
          <w:color w:val="231F20"/>
          <w:sz w:val="16"/>
          <w:szCs w:val="16"/>
        </w:rPr>
        <w:t xml:space="preserve"> and </w:t>
      </w:r>
      <w:proofErr w:type="spellStart"/>
      <w:r>
        <w:rPr>
          <w:i/>
          <w:color w:val="231F20"/>
          <w:sz w:val="16"/>
          <w:szCs w:val="16"/>
        </w:rPr>
        <w:t>measures</w:t>
      </w:r>
      <w:proofErr w:type="spellEnd"/>
      <w:r>
        <w:rPr>
          <w:i/>
          <w:color w:val="231F20"/>
          <w:sz w:val="16"/>
          <w:szCs w:val="16"/>
        </w:rPr>
        <w:t xml:space="preserve"> </w:t>
      </w:r>
      <w:proofErr w:type="spellStart"/>
      <w:r>
        <w:rPr>
          <w:i/>
          <w:color w:val="231F20"/>
          <w:sz w:val="16"/>
          <w:szCs w:val="16"/>
        </w:rPr>
        <w:t>for</w:t>
      </w:r>
      <w:proofErr w:type="spellEnd"/>
      <w:r>
        <w:rPr>
          <w:i/>
          <w:color w:val="231F20"/>
          <w:sz w:val="16"/>
          <w:szCs w:val="16"/>
        </w:rPr>
        <w:t xml:space="preserve"> </w:t>
      </w:r>
      <w:proofErr w:type="spellStart"/>
      <w:r>
        <w:rPr>
          <w:i/>
          <w:color w:val="231F20"/>
          <w:sz w:val="16"/>
          <w:szCs w:val="16"/>
        </w:rPr>
        <w:t>sustainable</w:t>
      </w:r>
      <w:proofErr w:type="spellEnd"/>
      <w:r>
        <w:rPr>
          <w:i/>
          <w:color w:val="231F20"/>
          <w:sz w:val="16"/>
          <w:szCs w:val="16"/>
        </w:rPr>
        <w:t xml:space="preserve"> and </w:t>
      </w:r>
      <w:proofErr w:type="spellStart"/>
      <w:r>
        <w:rPr>
          <w:i/>
          <w:color w:val="231F20"/>
          <w:sz w:val="16"/>
          <w:szCs w:val="16"/>
        </w:rPr>
        <w:t>energ</w:t>
      </w:r>
      <w:r>
        <w:rPr>
          <w:i/>
          <w:color w:val="231F20"/>
          <w:sz w:val="16"/>
          <w:szCs w:val="16"/>
        </w:rPr>
        <w:t>y</w:t>
      </w:r>
      <w:proofErr w:type="spellEnd"/>
      <w:r>
        <w:rPr>
          <w:i/>
          <w:color w:val="231F20"/>
          <w:sz w:val="16"/>
          <w:szCs w:val="16"/>
        </w:rPr>
        <w:t xml:space="preserve"> </w:t>
      </w:r>
      <w:proofErr w:type="spellStart"/>
      <w:r>
        <w:rPr>
          <w:i/>
          <w:color w:val="231F20"/>
          <w:sz w:val="16"/>
          <w:szCs w:val="16"/>
        </w:rPr>
        <w:t>efficient</w:t>
      </w:r>
      <w:proofErr w:type="spellEnd"/>
      <w:r>
        <w:rPr>
          <w:i/>
          <w:color w:val="231F20"/>
          <w:sz w:val="16"/>
          <w:szCs w:val="16"/>
        </w:rPr>
        <w:t xml:space="preserve">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transport</w:t>
      </w:r>
      <w:proofErr w:type="spellEnd"/>
      <w:r>
        <w:rPr>
          <w:i/>
          <w:color w:val="231F20"/>
          <w:sz w:val="16"/>
          <w:szCs w:val="16"/>
        </w:rPr>
        <w:t xml:space="preserve">. </w:t>
      </w:r>
      <w:proofErr w:type="spellStart"/>
      <w:r>
        <w:rPr>
          <w:i/>
          <w:color w:val="231F20"/>
          <w:sz w:val="16"/>
          <w:szCs w:val="16"/>
        </w:rPr>
        <w:t>Elsevier</w:t>
      </w:r>
      <w:proofErr w:type="spellEnd"/>
      <w:r>
        <w:rPr>
          <w:i/>
          <w:color w:val="231F20"/>
          <w:sz w:val="16"/>
          <w:szCs w:val="16"/>
        </w:rPr>
        <w:t>.</w:t>
      </w:r>
    </w:p>
    <w:p w:rsidR="00BF7DF3" w:rsidRDefault="009709B5">
      <w:pPr>
        <w:spacing w:line="276" w:lineRule="auto"/>
        <w:ind w:left="227" w:right="324"/>
        <w:jc w:val="both"/>
        <w:rPr>
          <w:i/>
          <w:color w:val="231F20"/>
          <w:sz w:val="16"/>
          <w:szCs w:val="16"/>
        </w:rPr>
      </w:pPr>
      <w:r>
        <w:rPr>
          <w:color w:val="231F20"/>
          <w:sz w:val="16"/>
          <w:szCs w:val="16"/>
        </w:rPr>
        <w:t xml:space="preserve">Lenz (2014). </w:t>
      </w:r>
      <w:proofErr w:type="spellStart"/>
      <w:r>
        <w:rPr>
          <w:i/>
          <w:color w:val="231F20"/>
          <w:sz w:val="16"/>
          <w:szCs w:val="16"/>
        </w:rPr>
        <w:t>The</w:t>
      </w:r>
      <w:proofErr w:type="spellEnd"/>
      <w:r>
        <w:rPr>
          <w:i/>
          <w:color w:val="231F20"/>
          <w:sz w:val="16"/>
          <w:szCs w:val="16"/>
        </w:rPr>
        <w:t xml:space="preserve"> </w:t>
      </w:r>
      <w:proofErr w:type="spellStart"/>
      <w:r>
        <w:rPr>
          <w:i/>
          <w:color w:val="231F20"/>
          <w:sz w:val="16"/>
          <w:szCs w:val="16"/>
        </w:rPr>
        <w:t>impact</w:t>
      </w:r>
      <w:proofErr w:type="spellEnd"/>
      <w:r>
        <w:rPr>
          <w:i/>
          <w:color w:val="231F20"/>
          <w:sz w:val="16"/>
          <w:szCs w:val="16"/>
        </w:rPr>
        <w:t xml:space="preserve"> of e-</w:t>
      </w:r>
      <w:proofErr w:type="spellStart"/>
      <w:r>
        <w:rPr>
          <w:i/>
          <w:color w:val="231F20"/>
          <w:sz w:val="16"/>
          <w:szCs w:val="16"/>
        </w:rPr>
        <w:t>commerce</w:t>
      </w:r>
      <w:proofErr w:type="spellEnd"/>
      <w:r>
        <w:rPr>
          <w:i/>
          <w:color w:val="231F20"/>
          <w:sz w:val="16"/>
          <w:szCs w:val="16"/>
        </w:rPr>
        <w:t xml:space="preserve"> </w:t>
      </w:r>
      <w:proofErr w:type="spellStart"/>
      <w:r>
        <w:rPr>
          <w:i/>
          <w:color w:val="231F20"/>
          <w:sz w:val="16"/>
          <w:szCs w:val="16"/>
        </w:rPr>
        <w:t>on</w:t>
      </w:r>
      <w:proofErr w:type="spellEnd"/>
      <w:r>
        <w:rPr>
          <w:i/>
          <w:color w:val="231F20"/>
          <w:sz w:val="16"/>
          <w:szCs w:val="16"/>
        </w:rPr>
        <w:t xml:space="preserve"> final </w:t>
      </w:r>
      <w:proofErr w:type="spellStart"/>
      <w:r>
        <w:rPr>
          <w:i/>
          <w:color w:val="231F20"/>
          <w:sz w:val="16"/>
          <w:szCs w:val="16"/>
        </w:rPr>
        <w:t>deliveries</w:t>
      </w:r>
      <w:proofErr w:type="spellEnd"/>
      <w:r>
        <w:rPr>
          <w:i/>
          <w:color w:val="231F20"/>
          <w:sz w:val="16"/>
          <w:szCs w:val="16"/>
        </w:rPr>
        <w:t xml:space="preserve">: </w:t>
      </w:r>
      <w:proofErr w:type="spellStart"/>
      <w:r>
        <w:rPr>
          <w:i/>
          <w:color w:val="231F20"/>
          <w:sz w:val="16"/>
          <w:szCs w:val="16"/>
        </w:rPr>
        <w:t>alternative</w:t>
      </w:r>
      <w:proofErr w:type="spellEnd"/>
      <w:r>
        <w:rPr>
          <w:i/>
          <w:color w:val="231F20"/>
          <w:sz w:val="16"/>
          <w:szCs w:val="16"/>
        </w:rPr>
        <w:t xml:space="preserve"> </w:t>
      </w:r>
      <w:proofErr w:type="spellStart"/>
      <w:r>
        <w:rPr>
          <w:i/>
          <w:color w:val="231F20"/>
          <w:sz w:val="16"/>
          <w:szCs w:val="16"/>
        </w:rPr>
        <w:t>parcel</w:t>
      </w:r>
      <w:proofErr w:type="spellEnd"/>
      <w:r>
        <w:rPr>
          <w:i/>
          <w:color w:val="231F20"/>
          <w:sz w:val="16"/>
          <w:szCs w:val="16"/>
        </w:rPr>
        <w:t xml:space="preserve"> </w:t>
      </w:r>
      <w:proofErr w:type="spellStart"/>
      <w:r>
        <w:rPr>
          <w:i/>
          <w:color w:val="231F20"/>
          <w:sz w:val="16"/>
          <w:szCs w:val="16"/>
        </w:rPr>
        <w:t>delivery</w:t>
      </w:r>
      <w:proofErr w:type="spellEnd"/>
      <w:r>
        <w:rPr>
          <w:i/>
          <w:color w:val="231F20"/>
          <w:sz w:val="16"/>
          <w:szCs w:val="16"/>
        </w:rPr>
        <w:t xml:space="preserve"> </w:t>
      </w:r>
      <w:proofErr w:type="spellStart"/>
      <w:r>
        <w:rPr>
          <w:i/>
          <w:color w:val="231F20"/>
          <w:sz w:val="16"/>
          <w:szCs w:val="16"/>
        </w:rPr>
        <w:t>services</w:t>
      </w:r>
      <w:proofErr w:type="spellEnd"/>
      <w:r>
        <w:rPr>
          <w:i/>
          <w:color w:val="231F20"/>
          <w:sz w:val="16"/>
          <w:szCs w:val="16"/>
        </w:rPr>
        <w:t xml:space="preserve"> in France and </w:t>
      </w:r>
      <w:proofErr w:type="spellStart"/>
      <w:r>
        <w:rPr>
          <w:i/>
          <w:color w:val="231F20"/>
          <w:sz w:val="16"/>
          <w:szCs w:val="16"/>
        </w:rPr>
        <w:t>Germany</w:t>
      </w:r>
      <w:proofErr w:type="spellEnd"/>
    </w:p>
    <w:p w:rsidR="00BF7DF3" w:rsidRDefault="009709B5">
      <w:pPr>
        <w:spacing w:line="276" w:lineRule="auto"/>
        <w:ind w:left="227" w:right="324"/>
        <w:jc w:val="both"/>
        <w:rPr>
          <w:i/>
          <w:color w:val="231F20"/>
          <w:sz w:val="16"/>
          <w:szCs w:val="16"/>
        </w:rPr>
      </w:pPr>
      <w:r>
        <w:rPr>
          <w:color w:val="231F20"/>
          <w:sz w:val="16"/>
          <w:szCs w:val="16"/>
        </w:rPr>
        <w:t xml:space="preserve">MOUFAD, Imane. F. J. (2020). </w:t>
      </w:r>
      <w:proofErr w:type="spellStart"/>
      <w:r>
        <w:rPr>
          <w:i/>
          <w:color w:val="231F20"/>
          <w:sz w:val="16"/>
          <w:szCs w:val="16"/>
        </w:rPr>
        <w:t>Mixed</w:t>
      </w:r>
      <w:proofErr w:type="spellEnd"/>
      <w:r>
        <w:rPr>
          <w:i/>
          <w:color w:val="231F20"/>
          <w:sz w:val="16"/>
          <w:szCs w:val="16"/>
        </w:rPr>
        <w:t xml:space="preserve"> </w:t>
      </w:r>
      <w:proofErr w:type="spellStart"/>
      <w:r>
        <w:rPr>
          <w:i/>
          <w:color w:val="231F20"/>
          <w:sz w:val="16"/>
          <w:szCs w:val="16"/>
        </w:rPr>
        <w:t>applied</w:t>
      </w:r>
      <w:proofErr w:type="spellEnd"/>
      <w:r>
        <w:rPr>
          <w:i/>
          <w:color w:val="231F20"/>
          <w:sz w:val="16"/>
          <w:szCs w:val="16"/>
        </w:rPr>
        <w:t xml:space="preserve"> </w:t>
      </w:r>
      <w:proofErr w:type="spellStart"/>
      <w:r>
        <w:rPr>
          <w:i/>
          <w:color w:val="231F20"/>
          <w:sz w:val="16"/>
          <w:szCs w:val="16"/>
        </w:rPr>
        <w:t>survey</w:t>
      </w:r>
      <w:proofErr w:type="spellEnd"/>
      <w:r>
        <w:rPr>
          <w:i/>
          <w:color w:val="231F20"/>
          <w:sz w:val="16"/>
          <w:szCs w:val="16"/>
        </w:rPr>
        <w:t xml:space="preserve"> </w:t>
      </w:r>
      <w:proofErr w:type="spellStart"/>
      <w:r>
        <w:rPr>
          <w:i/>
          <w:color w:val="231F20"/>
          <w:sz w:val="16"/>
          <w:szCs w:val="16"/>
        </w:rPr>
        <w:t>methodology</w:t>
      </w:r>
      <w:proofErr w:type="spellEnd"/>
      <w:r>
        <w:rPr>
          <w:i/>
          <w:color w:val="231F20"/>
          <w:sz w:val="16"/>
          <w:szCs w:val="16"/>
        </w:rPr>
        <w:t xml:space="preserve"> </w:t>
      </w:r>
      <w:proofErr w:type="spellStart"/>
      <w:r>
        <w:rPr>
          <w:i/>
          <w:color w:val="231F20"/>
          <w:sz w:val="16"/>
          <w:szCs w:val="16"/>
        </w:rPr>
        <w:t>for</w:t>
      </w:r>
      <w:proofErr w:type="spellEnd"/>
      <w:r>
        <w:rPr>
          <w:i/>
          <w:color w:val="231F20"/>
          <w:sz w:val="16"/>
          <w:szCs w:val="16"/>
        </w:rPr>
        <w:t xml:space="preserve"> plan-</w:t>
      </w:r>
      <w:proofErr w:type="spellStart"/>
      <w:r>
        <w:rPr>
          <w:i/>
          <w:color w:val="231F20"/>
          <w:sz w:val="16"/>
          <w:szCs w:val="16"/>
        </w:rPr>
        <w:t>ning</w:t>
      </w:r>
      <w:proofErr w:type="spellEnd"/>
      <w:r>
        <w:rPr>
          <w:i/>
          <w:color w:val="231F20"/>
          <w:sz w:val="16"/>
          <w:szCs w:val="16"/>
        </w:rPr>
        <w:t>/</w:t>
      </w:r>
      <w:proofErr w:type="spellStart"/>
      <w:r>
        <w:rPr>
          <w:i/>
          <w:color w:val="231F20"/>
          <w:sz w:val="16"/>
          <w:szCs w:val="16"/>
        </w:rPr>
        <w:t>enforcement</w:t>
      </w:r>
      <w:proofErr w:type="spellEnd"/>
      <w:r>
        <w:rPr>
          <w:i/>
          <w:color w:val="231F20"/>
          <w:sz w:val="16"/>
          <w:szCs w:val="16"/>
        </w:rPr>
        <w:t xml:space="preserve"> of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lo</w:t>
      </w:r>
      <w:r>
        <w:rPr>
          <w:i/>
          <w:color w:val="231F20"/>
          <w:sz w:val="16"/>
          <w:szCs w:val="16"/>
        </w:rPr>
        <w:t>gistics</w:t>
      </w:r>
      <w:proofErr w:type="spellEnd"/>
      <w:r>
        <w:rPr>
          <w:i/>
          <w:color w:val="231F20"/>
          <w:sz w:val="16"/>
          <w:szCs w:val="16"/>
        </w:rPr>
        <w:t xml:space="preserve"> </w:t>
      </w:r>
      <w:proofErr w:type="spellStart"/>
      <w:r>
        <w:rPr>
          <w:i/>
          <w:color w:val="231F20"/>
          <w:sz w:val="16"/>
          <w:szCs w:val="16"/>
        </w:rPr>
        <w:t>delivery</w:t>
      </w:r>
      <w:proofErr w:type="spellEnd"/>
      <w:r>
        <w:rPr>
          <w:i/>
          <w:color w:val="231F20"/>
          <w:sz w:val="16"/>
          <w:szCs w:val="16"/>
        </w:rPr>
        <w:t xml:space="preserve"> </w:t>
      </w:r>
      <w:proofErr w:type="spellStart"/>
      <w:r>
        <w:rPr>
          <w:i/>
          <w:color w:val="231F20"/>
          <w:sz w:val="16"/>
          <w:szCs w:val="16"/>
        </w:rPr>
        <w:t>bays</w:t>
      </w:r>
      <w:proofErr w:type="spellEnd"/>
      <w:r>
        <w:rPr>
          <w:i/>
          <w:color w:val="231F20"/>
          <w:sz w:val="16"/>
          <w:szCs w:val="16"/>
        </w:rPr>
        <w:t xml:space="preserve">- </w:t>
      </w:r>
      <w:proofErr w:type="spellStart"/>
      <w:r>
        <w:rPr>
          <w:i/>
          <w:color w:val="231F20"/>
          <w:sz w:val="16"/>
          <w:szCs w:val="16"/>
        </w:rPr>
        <w:t>an</w:t>
      </w:r>
      <w:proofErr w:type="spellEnd"/>
      <w:r>
        <w:rPr>
          <w:i/>
          <w:color w:val="231F20"/>
          <w:sz w:val="16"/>
          <w:szCs w:val="16"/>
        </w:rPr>
        <w:t xml:space="preserve"> </w:t>
      </w:r>
      <w:proofErr w:type="spellStart"/>
      <w:r>
        <w:rPr>
          <w:i/>
          <w:color w:val="231F20"/>
          <w:sz w:val="16"/>
          <w:szCs w:val="16"/>
        </w:rPr>
        <w:t>application</w:t>
      </w:r>
      <w:proofErr w:type="spellEnd"/>
      <w:r>
        <w:rPr>
          <w:i/>
          <w:color w:val="231F20"/>
          <w:sz w:val="16"/>
          <w:szCs w:val="16"/>
        </w:rPr>
        <w:t xml:space="preserve"> to </w:t>
      </w:r>
      <w:proofErr w:type="spellStart"/>
      <w:r>
        <w:rPr>
          <w:i/>
          <w:color w:val="231F20"/>
          <w:sz w:val="16"/>
          <w:szCs w:val="16"/>
        </w:rPr>
        <w:t>the</w:t>
      </w:r>
      <w:proofErr w:type="spellEnd"/>
      <w:r>
        <w:rPr>
          <w:i/>
          <w:color w:val="231F20"/>
          <w:sz w:val="16"/>
          <w:szCs w:val="16"/>
        </w:rPr>
        <w:t xml:space="preserve"> </w:t>
      </w:r>
      <w:proofErr w:type="spellStart"/>
      <w:r>
        <w:rPr>
          <w:i/>
          <w:color w:val="231F20"/>
          <w:sz w:val="16"/>
          <w:szCs w:val="16"/>
        </w:rPr>
        <w:t>moroccan</w:t>
      </w:r>
      <w:proofErr w:type="spellEnd"/>
      <w:r>
        <w:rPr>
          <w:i/>
          <w:color w:val="231F20"/>
          <w:sz w:val="16"/>
          <w:szCs w:val="16"/>
        </w:rPr>
        <w:t xml:space="preserve"> </w:t>
      </w:r>
      <w:proofErr w:type="spellStart"/>
      <w:r>
        <w:rPr>
          <w:i/>
          <w:color w:val="231F20"/>
          <w:sz w:val="16"/>
          <w:szCs w:val="16"/>
        </w:rPr>
        <w:t>context</w:t>
      </w:r>
      <w:proofErr w:type="spellEnd"/>
      <w:r>
        <w:rPr>
          <w:i/>
          <w:color w:val="231F20"/>
          <w:sz w:val="16"/>
          <w:szCs w:val="16"/>
        </w:rPr>
        <w:t>.</w:t>
      </w:r>
    </w:p>
    <w:p w:rsidR="00BF7DF3" w:rsidRDefault="009709B5">
      <w:pPr>
        <w:spacing w:line="276" w:lineRule="auto"/>
        <w:ind w:left="227" w:right="324"/>
        <w:jc w:val="both"/>
        <w:rPr>
          <w:i/>
          <w:color w:val="231F20"/>
          <w:sz w:val="16"/>
          <w:szCs w:val="16"/>
        </w:rPr>
      </w:pPr>
      <w:r>
        <w:rPr>
          <w:color w:val="231F20"/>
          <w:sz w:val="16"/>
          <w:szCs w:val="16"/>
        </w:rPr>
        <w:t xml:space="preserve">Mozos-Blanco, Miguel Ángel. E. P.-R.-A. (2018). </w:t>
      </w:r>
      <w:r>
        <w:rPr>
          <w:i/>
          <w:color w:val="231F20"/>
          <w:sz w:val="16"/>
          <w:szCs w:val="16"/>
        </w:rPr>
        <w:t xml:space="preserve">El camino hacia la movilidad sostenible. Un análisis comparativo de los planes de </w:t>
      </w:r>
      <w:r>
        <w:rPr>
          <w:i/>
          <w:color w:val="231F20"/>
          <w:sz w:val="16"/>
          <w:szCs w:val="16"/>
        </w:rPr>
        <w:lastRenderedPageBreak/>
        <w:t xml:space="preserve">movilidad </w:t>
      </w:r>
      <w:proofErr w:type="spellStart"/>
      <w:r>
        <w:rPr>
          <w:i/>
          <w:color w:val="231F20"/>
          <w:sz w:val="16"/>
          <w:szCs w:val="16"/>
        </w:rPr>
        <w:t>Elsevier</w:t>
      </w:r>
      <w:proofErr w:type="spellEnd"/>
      <w:r>
        <w:rPr>
          <w:i/>
          <w:color w:val="231F20"/>
          <w:sz w:val="16"/>
          <w:szCs w:val="16"/>
        </w:rPr>
        <w:t>.</w:t>
      </w:r>
    </w:p>
    <w:p w:rsidR="00BF7DF3" w:rsidRDefault="009709B5">
      <w:pPr>
        <w:spacing w:line="276" w:lineRule="auto"/>
        <w:ind w:left="227" w:right="324"/>
        <w:jc w:val="both"/>
        <w:rPr>
          <w:i/>
          <w:color w:val="231F20"/>
          <w:sz w:val="16"/>
          <w:szCs w:val="16"/>
        </w:rPr>
      </w:pPr>
      <w:r>
        <w:rPr>
          <w:color w:val="231F20"/>
          <w:sz w:val="16"/>
          <w:szCs w:val="16"/>
        </w:rPr>
        <w:t xml:space="preserve">Palacio-León, O. (2019).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logístics</w:t>
      </w:r>
      <w:proofErr w:type="spellEnd"/>
      <w:r>
        <w:rPr>
          <w:i/>
          <w:color w:val="231F20"/>
          <w:sz w:val="16"/>
          <w:szCs w:val="16"/>
        </w:rPr>
        <w:t xml:space="preserve">: </w:t>
      </w:r>
      <w:proofErr w:type="spellStart"/>
      <w:r>
        <w:rPr>
          <w:i/>
          <w:color w:val="231F20"/>
          <w:sz w:val="16"/>
          <w:szCs w:val="16"/>
        </w:rPr>
        <w:t>o</w:t>
      </w:r>
      <w:r>
        <w:rPr>
          <w:i/>
          <w:color w:val="231F20"/>
          <w:sz w:val="16"/>
          <w:szCs w:val="16"/>
        </w:rPr>
        <w:t>rigin</w:t>
      </w:r>
      <w:proofErr w:type="spellEnd"/>
      <w:r>
        <w:rPr>
          <w:i/>
          <w:color w:val="231F20"/>
          <w:sz w:val="16"/>
          <w:szCs w:val="16"/>
        </w:rPr>
        <w:t xml:space="preserve"> of a </w:t>
      </w:r>
      <w:proofErr w:type="spellStart"/>
      <w:r>
        <w:rPr>
          <w:i/>
          <w:color w:val="231F20"/>
          <w:sz w:val="16"/>
          <w:szCs w:val="16"/>
        </w:rPr>
        <w:t>strategy</w:t>
      </w:r>
      <w:proofErr w:type="spellEnd"/>
      <w:r>
        <w:rPr>
          <w:i/>
          <w:color w:val="231F20"/>
          <w:sz w:val="16"/>
          <w:szCs w:val="16"/>
        </w:rPr>
        <w:t xml:space="preserve"> </w:t>
      </w:r>
      <w:proofErr w:type="spellStart"/>
      <w:r>
        <w:rPr>
          <w:i/>
          <w:color w:val="231F20"/>
          <w:sz w:val="16"/>
          <w:szCs w:val="16"/>
        </w:rPr>
        <w:t>for</w:t>
      </w:r>
      <w:proofErr w:type="spellEnd"/>
      <w:r>
        <w:rPr>
          <w:i/>
          <w:color w:val="231F20"/>
          <w:sz w:val="16"/>
          <w:szCs w:val="16"/>
        </w:rPr>
        <w:t xml:space="preserve"> </w:t>
      </w:r>
      <w:proofErr w:type="spellStart"/>
      <w:r>
        <w:rPr>
          <w:i/>
          <w:color w:val="231F20"/>
          <w:sz w:val="16"/>
          <w:szCs w:val="16"/>
        </w:rPr>
        <w:t>creating</w:t>
      </w:r>
      <w:proofErr w:type="spellEnd"/>
      <w:r>
        <w:rPr>
          <w:i/>
          <w:color w:val="231F20"/>
          <w:sz w:val="16"/>
          <w:szCs w:val="16"/>
        </w:rPr>
        <w:t xml:space="preserve"> </w:t>
      </w:r>
      <w:proofErr w:type="spellStart"/>
      <w:r>
        <w:rPr>
          <w:i/>
          <w:color w:val="231F20"/>
          <w:sz w:val="16"/>
          <w:szCs w:val="16"/>
        </w:rPr>
        <w:t>shared</w:t>
      </w:r>
      <w:proofErr w:type="spellEnd"/>
      <w:r>
        <w:rPr>
          <w:i/>
          <w:color w:val="231F20"/>
          <w:sz w:val="16"/>
          <w:szCs w:val="16"/>
        </w:rPr>
        <w:t xml:space="preserve"> </w:t>
      </w:r>
      <w:proofErr w:type="spellStart"/>
      <w:r>
        <w:rPr>
          <w:i/>
          <w:color w:val="231F20"/>
          <w:sz w:val="16"/>
          <w:szCs w:val="16"/>
        </w:rPr>
        <w:t>value</w:t>
      </w:r>
      <w:proofErr w:type="spellEnd"/>
      <w:r>
        <w:rPr>
          <w:i/>
          <w:color w:val="231F20"/>
          <w:sz w:val="16"/>
          <w:szCs w:val="16"/>
        </w:rPr>
        <w:t>•. DYNA.</w:t>
      </w:r>
    </w:p>
    <w:p w:rsidR="00BF7DF3" w:rsidRDefault="009709B5">
      <w:pPr>
        <w:spacing w:line="276" w:lineRule="auto"/>
        <w:ind w:left="227" w:right="324"/>
        <w:jc w:val="both"/>
        <w:rPr>
          <w:i/>
          <w:color w:val="231F20"/>
          <w:sz w:val="16"/>
          <w:szCs w:val="16"/>
        </w:rPr>
      </w:pPr>
      <w:r>
        <w:rPr>
          <w:color w:val="231F20"/>
          <w:sz w:val="16"/>
          <w:szCs w:val="16"/>
        </w:rPr>
        <w:t>Paola Andrea Cruz-</w:t>
      </w:r>
      <w:proofErr w:type="spellStart"/>
      <w:r>
        <w:rPr>
          <w:color w:val="231F20"/>
          <w:sz w:val="16"/>
          <w:szCs w:val="16"/>
        </w:rPr>
        <w:t>Daravina</w:t>
      </w:r>
      <w:proofErr w:type="spellEnd"/>
      <w:r>
        <w:rPr>
          <w:color w:val="231F20"/>
          <w:sz w:val="16"/>
          <w:szCs w:val="16"/>
        </w:rPr>
        <w:t xml:space="preserve">, J. P. (2021). </w:t>
      </w:r>
      <w:proofErr w:type="spellStart"/>
      <w:r>
        <w:rPr>
          <w:i/>
          <w:color w:val="231F20"/>
          <w:sz w:val="16"/>
          <w:szCs w:val="16"/>
        </w:rPr>
        <w:t>Freight</w:t>
      </w:r>
      <w:proofErr w:type="spellEnd"/>
      <w:r>
        <w:rPr>
          <w:i/>
          <w:color w:val="231F20"/>
          <w:sz w:val="16"/>
          <w:szCs w:val="16"/>
        </w:rPr>
        <w:t xml:space="preserve"> </w:t>
      </w:r>
      <w:proofErr w:type="spellStart"/>
      <w:r>
        <w:rPr>
          <w:i/>
          <w:color w:val="231F20"/>
          <w:sz w:val="16"/>
          <w:szCs w:val="16"/>
        </w:rPr>
        <w:t>operations</w:t>
      </w:r>
      <w:proofErr w:type="spellEnd"/>
      <w:r>
        <w:rPr>
          <w:i/>
          <w:color w:val="231F20"/>
          <w:sz w:val="16"/>
          <w:szCs w:val="16"/>
        </w:rPr>
        <w:t xml:space="preserve"> in </w:t>
      </w:r>
      <w:proofErr w:type="spellStart"/>
      <w:r>
        <w:rPr>
          <w:i/>
          <w:color w:val="231F20"/>
          <w:sz w:val="16"/>
          <w:szCs w:val="16"/>
        </w:rPr>
        <w:t>city</w:t>
      </w:r>
      <w:proofErr w:type="spellEnd"/>
      <w:r>
        <w:rPr>
          <w:i/>
          <w:color w:val="231F20"/>
          <w:sz w:val="16"/>
          <w:szCs w:val="16"/>
        </w:rPr>
        <w:t xml:space="preserve"> centers: A </w:t>
      </w:r>
      <w:proofErr w:type="spellStart"/>
      <w:r>
        <w:rPr>
          <w:i/>
          <w:color w:val="231F20"/>
          <w:sz w:val="16"/>
          <w:szCs w:val="16"/>
        </w:rPr>
        <w:t>land</w:t>
      </w:r>
      <w:proofErr w:type="spellEnd"/>
      <w:r>
        <w:rPr>
          <w:i/>
          <w:color w:val="231F20"/>
          <w:sz w:val="16"/>
          <w:szCs w:val="16"/>
        </w:rPr>
        <w:t xml:space="preserve"> use </w:t>
      </w:r>
      <w:proofErr w:type="spellStart"/>
      <w:r>
        <w:rPr>
          <w:i/>
          <w:color w:val="231F20"/>
          <w:sz w:val="16"/>
          <w:szCs w:val="16"/>
        </w:rPr>
        <w:t>conflict</w:t>
      </w:r>
      <w:proofErr w:type="spellEnd"/>
      <w:r>
        <w:rPr>
          <w:i/>
          <w:color w:val="231F20"/>
          <w:sz w:val="16"/>
          <w:szCs w:val="16"/>
        </w:rPr>
        <w:t xml:space="preserve"> in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planning</w:t>
      </w:r>
      <w:proofErr w:type="spellEnd"/>
      <w:r>
        <w:rPr>
          <w:i/>
          <w:color w:val="231F20"/>
          <w:sz w:val="16"/>
          <w:szCs w:val="16"/>
        </w:rPr>
        <w:t xml:space="preserve">. </w:t>
      </w:r>
      <w:proofErr w:type="spellStart"/>
      <w:r>
        <w:rPr>
          <w:i/>
          <w:color w:val="231F20"/>
          <w:sz w:val="16"/>
          <w:szCs w:val="16"/>
        </w:rPr>
        <w:t>Elsevier</w:t>
      </w:r>
      <w:proofErr w:type="spellEnd"/>
      <w:r>
        <w:rPr>
          <w:i/>
          <w:color w:val="231F20"/>
          <w:sz w:val="16"/>
          <w:szCs w:val="16"/>
        </w:rPr>
        <w:t>.</w:t>
      </w:r>
    </w:p>
    <w:p w:rsidR="00BF7DF3" w:rsidRDefault="009709B5">
      <w:pPr>
        <w:tabs>
          <w:tab w:val="left" w:pos="357"/>
        </w:tabs>
        <w:spacing w:line="276" w:lineRule="auto"/>
        <w:ind w:left="227"/>
        <w:jc w:val="both"/>
        <w:rPr>
          <w:i/>
          <w:color w:val="231F20"/>
          <w:sz w:val="16"/>
          <w:szCs w:val="16"/>
        </w:rPr>
      </w:pPr>
      <w:proofErr w:type="spellStart"/>
      <w:r>
        <w:rPr>
          <w:color w:val="231F20"/>
          <w:sz w:val="16"/>
          <w:szCs w:val="16"/>
        </w:rPr>
        <w:t>Paddeu</w:t>
      </w:r>
      <w:proofErr w:type="spellEnd"/>
      <w:r>
        <w:rPr>
          <w:color w:val="231F20"/>
          <w:sz w:val="16"/>
          <w:szCs w:val="16"/>
        </w:rPr>
        <w:t xml:space="preserve">, D. (2022). </w:t>
      </w:r>
      <w:proofErr w:type="spellStart"/>
      <w:r>
        <w:rPr>
          <w:i/>
          <w:color w:val="231F20"/>
          <w:sz w:val="16"/>
          <w:szCs w:val="16"/>
        </w:rPr>
        <w:t>The</w:t>
      </w:r>
      <w:proofErr w:type="spellEnd"/>
      <w:r>
        <w:rPr>
          <w:i/>
          <w:color w:val="231F20"/>
          <w:sz w:val="16"/>
          <w:szCs w:val="16"/>
        </w:rPr>
        <w:t xml:space="preserve"> </w:t>
      </w:r>
      <w:proofErr w:type="spellStart"/>
      <w:r>
        <w:rPr>
          <w:i/>
          <w:color w:val="231F20"/>
          <w:sz w:val="16"/>
          <w:szCs w:val="16"/>
        </w:rPr>
        <w:t>future</w:t>
      </w:r>
      <w:proofErr w:type="spellEnd"/>
      <w:r>
        <w:rPr>
          <w:i/>
          <w:color w:val="231F20"/>
          <w:sz w:val="16"/>
          <w:szCs w:val="16"/>
        </w:rPr>
        <w:t xml:space="preserve"> of </w:t>
      </w:r>
      <w:proofErr w:type="spellStart"/>
      <w:r>
        <w:rPr>
          <w:i/>
          <w:color w:val="231F20"/>
          <w:sz w:val="16"/>
          <w:szCs w:val="16"/>
        </w:rPr>
        <w:t>last-mile</w:t>
      </w:r>
      <w:proofErr w:type="spellEnd"/>
      <w:r>
        <w:rPr>
          <w:i/>
          <w:color w:val="231F20"/>
          <w:sz w:val="16"/>
          <w:szCs w:val="16"/>
        </w:rPr>
        <w:t xml:space="preserve"> </w:t>
      </w:r>
      <w:proofErr w:type="spellStart"/>
      <w:r>
        <w:rPr>
          <w:i/>
          <w:color w:val="231F20"/>
          <w:sz w:val="16"/>
          <w:szCs w:val="16"/>
        </w:rPr>
        <w:t>deliveries</w:t>
      </w:r>
      <w:proofErr w:type="spellEnd"/>
      <w:r>
        <w:rPr>
          <w:i/>
          <w:color w:val="231F20"/>
          <w:sz w:val="16"/>
          <w:szCs w:val="16"/>
        </w:rPr>
        <w:t xml:space="preserve">: </w:t>
      </w:r>
      <w:proofErr w:type="spellStart"/>
      <w:r>
        <w:rPr>
          <w:i/>
          <w:color w:val="231F20"/>
          <w:sz w:val="16"/>
          <w:szCs w:val="16"/>
        </w:rPr>
        <w:t>Understanding</w:t>
      </w:r>
      <w:proofErr w:type="spellEnd"/>
      <w:r>
        <w:rPr>
          <w:i/>
          <w:color w:val="231F20"/>
          <w:sz w:val="16"/>
          <w:szCs w:val="16"/>
        </w:rPr>
        <w:t xml:space="preserve"> </w:t>
      </w:r>
      <w:proofErr w:type="spellStart"/>
      <w:r>
        <w:rPr>
          <w:i/>
          <w:color w:val="231F20"/>
          <w:sz w:val="16"/>
          <w:szCs w:val="16"/>
        </w:rPr>
        <w:t>the</w:t>
      </w:r>
      <w:proofErr w:type="spellEnd"/>
      <w:r>
        <w:rPr>
          <w:i/>
          <w:color w:val="231F20"/>
          <w:sz w:val="16"/>
          <w:szCs w:val="16"/>
        </w:rPr>
        <w:t xml:space="preserve"> lo</w:t>
      </w:r>
      <w:r>
        <w:rPr>
          <w:i/>
          <w:color w:val="231F20"/>
          <w:sz w:val="16"/>
          <w:szCs w:val="16"/>
        </w:rPr>
        <w:t xml:space="preserve">cal </w:t>
      </w:r>
      <w:proofErr w:type="spellStart"/>
      <w:r>
        <w:rPr>
          <w:i/>
          <w:color w:val="231F20"/>
          <w:sz w:val="16"/>
          <w:szCs w:val="16"/>
        </w:rPr>
        <w:t>perspective</w:t>
      </w:r>
      <w:proofErr w:type="spellEnd"/>
      <w:r>
        <w:rPr>
          <w:i/>
          <w:color w:val="231F20"/>
          <w:sz w:val="16"/>
          <w:szCs w:val="16"/>
        </w:rPr>
        <w:t xml:space="preserve">. Local </w:t>
      </w:r>
      <w:proofErr w:type="spellStart"/>
      <w:r>
        <w:rPr>
          <w:i/>
          <w:color w:val="231F20"/>
          <w:sz w:val="16"/>
          <w:szCs w:val="16"/>
        </w:rPr>
        <w:t>Government</w:t>
      </w:r>
      <w:proofErr w:type="spellEnd"/>
      <w:r>
        <w:rPr>
          <w:i/>
          <w:color w:val="231F20"/>
          <w:sz w:val="16"/>
          <w:szCs w:val="16"/>
        </w:rPr>
        <w:t xml:space="preserve"> </w:t>
      </w:r>
      <w:proofErr w:type="spellStart"/>
      <w:r>
        <w:rPr>
          <w:i/>
          <w:color w:val="231F20"/>
          <w:sz w:val="16"/>
          <w:szCs w:val="16"/>
        </w:rPr>
        <w:t>Association</w:t>
      </w:r>
      <w:proofErr w:type="spellEnd"/>
      <w:r>
        <w:rPr>
          <w:i/>
          <w:color w:val="231F20"/>
          <w:sz w:val="16"/>
          <w:szCs w:val="16"/>
        </w:rPr>
        <w:t>.</w:t>
      </w:r>
    </w:p>
    <w:p w:rsidR="00BF7DF3" w:rsidRDefault="009709B5">
      <w:pPr>
        <w:spacing w:line="276" w:lineRule="auto"/>
        <w:ind w:left="227" w:right="324"/>
        <w:jc w:val="both"/>
        <w:rPr>
          <w:i/>
          <w:color w:val="231F20"/>
          <w:sz w:val="16"/>
          <w:szCs w:val="16"/>
        </w:rPr>
      </w:pPr>
      <w:r>
        <w:rPr>
          <w:color w:val="231F20"/>
          <w:sz w:val="16"/>
          <w:szCs w:val="16"/>
        </w:rPr>
        <w:t xml:space="preserve">RODRÍGUEZ, C. M. (2013). </w:t>
      </w:r>
      <w:r>
        <w:rPr>
          <w:i/>
          <w:color w:val="231F20"/>
          <w:sz w:val="16"/>
          <w:szCs w:val="16"/>
        </w:rPr>
        <w:t xml:space="preserve">Análisis del transporte de carga en Colombia, para crear estrategias que permitan alcanzar estándares </w:t>
      </w:r>
      <w:r>
        <w:rPr>
          <w:i/>
          <w:color w:val="231F20"/>
          <w:sz w:val="16"/>
          <w:szCs w:val="16"/>
        </w:rPr>
        <w:lastRenderedPageBreak/>
        <w:t>de competitividad e infraestructura internacional.</w:t>
      </w:r>
    </w:p>
    <w:p w:rsidR="00BF7DF3" w:rsidRDefault="009709B5">
      <w:pPr>
        <w:spacing w:line="276" w:lineRule="auto"/>
        <w:ind w:left="227" w:right="324"/>
        <w:jc w:val="both"/>
        <w:rPr>
          <w:i/>
          <w:color w:val="231F20"/>
          <w:sz w:val="16"/>
          <w:szCs w:val="16"/>
        </w:rPr>
      </w:pPr>
      <w:r>
        <w:rPr>
          <w:color w:val="231F20"/>
          <w:sz w:val="16"/>
          <w:szCs w:val="16"/>
        </w:rPr>
        <w:t xml:space="preserve">Rojas-Huérfano Luisa Fernanda, </w:t>
      </w:r>
      <w:r>
        <w:rPr>
          <w:color w:val="231F20"/>
          <w:sz w:val="16"/>
          <w:szCs w:val="16"/>
        </w:rPr>
        <w:t xml:space="preserve">A.-J. W.-T. (2017). </w:t>
      </w:r>
      <w:r>
        <w:rPr>
          <w:i/>
          <w:color w:val="231F20"/>
          <w:sz w:val="16"/>
          <w:szCs w:val="16"/>
        </w:rPr>
        <w:t>Políticas públicas en logística urbana. Construcción colectiva de lineamientos para la logística de Bogotá-Colombia. Ingeniería, Investigación y tecnología.</w:t>
      </w:r>
    </w:p>
    <w:p w:rsidR="00BF7DF3" w:rsidRDefault="009709B5">
      <w:pPr>
        <w:spacing w:line="276" w:lineRule="auto"/>
        <w:ind w:left="227" w:right="324"/>
        <w:jc w:val="both"/>
        <w:rPr>
          <w:color w:val="231F20"/>
          <w:sz w:val="16"/>
          <w:szCs w:val="16"/>
        </w:rPr>
      </w:pPr>
      <w:r>
        <w:rPr>
          <w:color w:val="231F20"/>
          <w:sz w:val="16"/>
          <w:szCs w:val="16"/>
        </w:rPr>
        <w:t xml:space="preserve">Torres, </w:t>
      </w:r>
      <w:proofErr w:type="spellStart"/>
      <w:proofErr w:type="gramStart"/>
      <w:r>
        <w:rPr>
          <w:color w:val="231F20"/>
          <w:sz w:val="16"/>
          <w:szCs w:val="16"/>
        </w:rPr>
        <w:t>Mauleón</w:t>
      </w:r>
      <w:proofErr w:type="spellEnd"/>
      <w:r>
        <w:rPr>
          <w:color w:val="231F20"/>
          <w:sz w:val="16"/>
          <w:szCs w:val="16"/>
        </w:rPr>
        <w:t xml:space="preserve"> .</w:t>
      </w:r>
      <w:proofErr w:type="gramEnd"/>
      <w:r>
        <w:rPr>
          <w:color w:val="231F20"/>
          <w:sz w:val="16"/>
          <w:szCs w:val="16"/>
        </w:rPr>
        <w:t xml:space="preserve"> (2013). </w:t>
      </w:r>
      <w:r>
        <w:rPr>
          <w:i/>
          <w:color w:val="231F20"/>
          <w:sz w:val="16"/>
          <w:szCs w:val="16"/>
        </w:rPr>
        <w:t>Transporte, operadores y redes.</w:t>
      </w:r>
    </w:p>
    <w:p w:rsidR="00BF7DF3" w:rsidRDefault="009709B5">
      <w:pPr>
        <w:tabs>
          <w:tab w:val="left" w:pos="357"/>
        </w:tabs>
        <w:spacing w:line="276" w:lineRule="auto"/>
        <w:ind w:left="227"/>
        <w:jc w:val="both"/>
        <w:rPr>
          <w:color w:val="231F20"/>
          <w:sz w:val="16"/>
          <w:szCs w:val="16"/>
        </w:rPr>
        <w:sectPr w:rsidR="00BF7DF3">
          <w:type w:val="continuous"/>
          <w:pgSz w:w="12240" w:h="15840"/>
          <w:pgMar w:top="380" w:right="740" w:bottom="280" w:left="740" w:header="720" w:footer="720" w:gutter="0"/>
          <w:cols w:num="2" w:space="720" w:equalWidth="0">
            <w:col w:w="5342" w:space="75"/>
            <w:col w:w="5342" w:space="0"/>
          </w:cols>
        </w:sectPr>
      </w:pPr>
      <w:proofErr w:type="spellStart"/>
      <w:r>
        <w:rPr>
          <w:color w:val="231F20"/>
          <w:sz w:val="16"/>
          <w:szCs w:val="16"/>
        </w:rPr>
        <w:t>Zhangyuan</w:t>
      </w:r>
      <w:proofErr w:type="spellEnd"/>
      <w:r>
        <w:rPr>
          <w:color w:val="231F20"/>
          <w:sz w:val="16"/>
          <w:szCs w:val="16"/>
        </w:rPr>
        <w:t xml:space="preserve"> He, H. D. (2020). </w:t>
      </w:r>
      <w:r>
        <w:rPr>
          <w:i/>
          <w:color w:val="231F20"/>
          <w:sz w:val="16"/>
          <w:szCs w:val="16"/>
        </w:rPr>
        <w:t xml:space="preserve">A </w:t>
      </w:r>
      <w:proofErr w:type="spellStart"/>
      <w:r>
        <w:rPr>
          <w:i/>
          <w:color w:val="231F20"/>
          <w:sz w:val="16"/>
          <w:szCs w:val="16"/>
        </w:rPr>
        <w:t>Theoretical</w:t>
      </w:r>
      <w:proofErr w:type="spellEnd"/>
      <w:r>
        <w:rPr>
          <w:i/>
          <w:color w:val="231F20"/>
          <w:sz w:val="16"/>
          <w:szCs w:val="16"/>
        </w:rPr>
        <w:t xml:space="preserve"> </w:t>
      </w:r>
      <w:proofErr w:type="spellStart"/>
      <w:r>
        <w:rPr>
          <w:i/>
          <w:color w:val="231F20"/>
          <w:sz w:val="16"/>
          <w:szCs w:val="16"/>
        </w:rPr>
        <w:t>Research</w:t>
      </w:r>
      <w:proofErr w:type="spellEnd"/>
      <w:r>
        <w:rPr>
          <w:i/>
          <w:color w:val="231F20"/>
          <w:sz w:val="16"/>
          <w:szCs w:val="16"/>
        </w:rPr>
        <w:t xml:space="preserve"> Framework of </w:t>
      </w:r>
      <w:proofErr w:type="spellStart"/>
      <w:r>
        <w:rPr>
          <w:i/>
          <w:color w:val="231F20"/>
          <w:sz w:val="16"/>
          <w:szCs w:val="16"/>
        </w:rPr>
        <w:t>Future</w:t>
      </w:r>
      <w:proofErr w:type="spellEnd"/>
      <w:r>
        <w:rPr>
          <w:i/>
          <w:color w:val="231F20"/>
          <w:sz w:val="16"/>
          <w:szCs w:val="16"/>
        </w:rPr>
        <w:t xml:space="preserve"> </w:t>
      </w:r>
      <w:proofErr w:type="spellStart"/>
      <w:r>
        <w:rPr>
          <w:i/>
          <w:color w:val="231F20"/>
          <w:sz w:val="16"/>
          <w:szCs w:val="16"/>
        </w:rPr>
        <w:t>Sustainable</w:t>
      </w:r>
      <w:proofErr w:type="spellEnd"/>
      <w:r>
        <w:rPr>
          <w:i/>
          <w:color w:val="231F20"/>
          <w:sz w:val="16"/>
          <w:szCs w:val="16"/>
        </w:rPr>
        <w:t xml:space="preserve"> </w:t>
      </w:r>
      <w:proofErr w:type="spellStart"/>
      <w:r>
        <w:rPr>
          <w:i/>
          <w:color w:val="231F20"/>
          <w:sz w:val="16"/>
          <w:szCs w:val="16"/>
        </w:rPr>
        <w:t>Urban</w:t>
      </w:r>
      <w:proofErr w:type="spellEnd"/>
      <w:r>
        <w:rPr>
          <w:i/>
          <w:color w:val="231F20"/>
          <w:sz w:val="16"/>
          <w:szCs w:val="16"/>
        </w:rPr>
        <w:t xml:space="preserve"> </w:t>
      </w:r>
      <w:proofErr w:type="spellStart"/>
      <w:r>
        <w:rPr>
          <w:i/>
          <w:color w:val="231F20"/>
          <w:sz w:val="16"/>
          <w:szCs w:val="16"/>
        </w:rPr>
        <w:t>Freight</w:t>
      </w:r>
      <w:proofErr w:type="spellEnd"/>
      <w:r>
        <w:rPr>
          <w:i/>
          <w:color w:val="231F20"/>
          <w:sz w:val="16"/>
          <w:szCs w:val="16"/>
        </w:rPr>
        <w:t xml:space="preserve"> </w:t>
      </w:r>
      <w:proofErr w:type="spellStart"/>
      <w:r>
        <w:rPr>
          <w:i/>
          <w:color w:val="231F20"/>
          <w:sz w:val="16"/>
          <w:szCs w:val="16"/>
        </w:rPr>
        <w:t>Transport</w:t>
      </w:r>
      <w:proofErr w:type="spellEnd"/>
      <w:r>
        <w:rPr>
          <w:i/>
          <w:color w:val="231F20"/>
          <w:sz w:val="16"/>
          <w:szCs w:val="16"/>
        </w:rPr>
        <w:t xml:space="preserve"> </w:t>
      </w:r>
      <w:proofErr w:type="spellStart"/>
      <w:r>
        <w:rPr>
          <w:i/>
          <w:color w:val="231F20"/>
          <w:sz w:val="16"/>
          <w:szCs w:val="16"/>
        </w:rPr>
        <w:t>for</w:t>
      </w:r>
      <w:proofErr w:type="spellEnd"/>
      <w:r>
        <w:rPr>
          <w:i/>
          <w:color w:val="231F20"/>
          <w:sz w:val="16"/>
          <w:szCs w:val="16"/>
        </w:rPr>
        <w:t xml:space="preserve"> Smart </w:t>
      </w:r>
      <w:proofErr w:type="spellStart"/>
      <w:r>
        <w:rPr>
          <w:i/>
          <w:color w:val="231F20"/>
          <w:sz w:val="16"/>
          <w:szCs w:val="16"/>
        </w:rPr>
        <w:t>Cities</w:t>
      </w:r>
      <w:proofErr w:type="spellEnd"/>
    </w:p>
    <w:p w:rsidR="00BF7DF3" w:rsidRDefault="00BF7DF3">
      <w:pPr>
        <w:spacing w:line="246" w:lineRule="auto"/>
        <w:ind w:left="227" w:right="164" w:hanging="720"/>
        <w:jc w:val="both"/>
        <w:rPr>
          <w:sz w:val="16"/>
          <w:szCs w:val="16"/>
        </w:rPr>
      </w:pPr>
      <w:bookmarkStart w:id="2" w:name="bookmark=id.30j0zll" w:colFirst="0" w:colLast="0"/>
      <w:bookmarkStart w:id="3" w:name="bookmark=id.1fob9te" w:colFirst="0" w:colLast="0"/>
      <w:bookmarkEnd w:id="2"/>
      <w:bookmarkEnd w:id="3"/>
    </w:p>
    <w:sectPr w:rsidR="00BF7DF3">
      <w:type w:val="continuous"/>
      <w:pgSz w:w="12240" w:h="15840"/>
      <w:pgMar w:top="380" w:right="740" w:bottom="280" w:left="740" w:header="720" w:footer="720" w:gutter="0"/>
      <w:cols w:num="2" w:space="720" w:equalWidth="0">
        <w:col w:w="5342" w:space="75"/>
        <w:col w:w="5342" w:space="0"/>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9B5" w:rsidRDefault="009709B5">
      <w:r>
        <w:separator/>
      </w:r>
    </w:p>
  </w:endnote>
  <w:endnote w:type="continuationSeparator" w:id="0">
    <w:p w:rsidR="009709B5" w:rsidRDefault="0097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MV Bol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DF3" w:rsidRDefault="00BF7DF3">
    <w:pPr>
      <w:pBdr>
        <w:top w:val="nil"/>
        <w:left w:val="nil"/>
        <w:bottom w:val="nil"/>
        <w:right w:val="nil"/>
        <w:between w:val="nil"/>
      </w:pBdr>
      <w:spacing w:line="14" w:lineRule="auto"/>
      <w:rPr>
        <w:color w:val="000000"/>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9B5" w:rsidRDefault="009709B5">
      <w:r>
        <w:separator/>
      </w:r>
    </w:p>
  </w:footnote>
  <w:footnote w:type="continuationSeparator" w:id="0">
    <w:p w:rsidR="009709B5" w:rsidRDefault="009709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DF3" w:rsidRDefault="009709B5">
    <w:pPr>
      <w:pBdr>
        <w:top w:val="nil"/>
        <w:left w:val="nil"/>
        <w:bottom w:val="nil"/>
        <w:right w:val="nil"/>
        <w:between w:val="nil"/>
      </w:pBdr>
      <w:spacing w:line="14" w:lineRule="auto"/>
      <w:rPr>
        <w:color w:val="000000"/>
        <w:sz w:val="20"/>
        <w:szCs w:val="20"/>
      </w:rPr>
    </w:pPr>
    <w:r>
      <w:rPr>
        <w:noProof/>
        <w:color w:val="000000"/>
        <w:sz w:val="20"/>
        <w:szCs w:val="20"/>
      </w:rPr>
      <mc:AlternateContent>
        <mc:Choice Requires="wpg">
          <w:drawing>
            <wp:anchor distT="0" distB="0" distL="114300" distR="114300" simplePos="0" relativeHeight="251660288" behindDoc="1" locked="0" layoutInCell="1" hidden="0" allowOverlap="1">
              <wp:simplePos x="0" y="0"/>
              <wp:positionH relativeFrom="page">
                <wp:posOffset>2435543</wp:posOffset>
              </wp:positionH>
              <wp:positionV relativeFrom="page">
                <wp:posOffset>232728</wp:posOffset>
              </wp:positionV>
              <wp:extent cx="3336925" cy="177800"/>
              <wp:effectExtent l="0" t="0" r="0" b="0"/>
              <wp:wrapNone/>
              <wp:docPr id="9" name="Forma libre 9"/>
              <wp:cNvGraphicFramePr/>
              <a:graphic xmlns:a="http://schemas.openxmlformats.org/drawingml/2006/main">
                <a:graphicData uri="http://schemas.microsoft.com/office/word/2010/wordprocessingShape">
                  <wps:wsp>
                    <wps:cNvSpPr/>
                    <wps:spPr>
                      <a:xfrm>
                        <a:off x="3682300" y="3695863"/>
                        <a:ext cx="3327400" cy="168275"/>
                      </a:xfrm>
                      <a:custGeom>
                        <a:avLst/>
                        <a:gdLst/>
                        <a:ahLst/>
                        <a:cxnLst/>
                        <a:rect l="l" t="t" r="r" b="b"/>
                        <a:pathLst>
                          <a:path w="3327400" h="168275" extrusionOk="0">
                            <a:moveTo>
                              <a:pt x="0" y="0"/>
                            </a:moveTo>
                            <a:lnTo>
                              <a:pt x="0" y="168275"/>
                            </a:lnTo>
                            <a:lnTo>
                              <a:pt x="3327400" y="168275"/>
                            </a:lnTo>
                            <a:lnTo>
                              <a:pt x="3327400" y="0"/>
                            </a:lnTo>
                            <a:close/>
                          </a:path>
                        </a:pathLst>
                      </a:custGeom>
                      <a:noFill/>
                      <a:ln>
                        <a:noFill/>
                      </a:ln>
                    </wps:spPr>
                    <wps:txbx>
                      <w:txbxContent>
                        <w:p w:rsidR="00BF7DF3" w:rsidRDefault="009709B5">
                          <w:pPr>
                            <w:spacing w:before="30"/>
                            <w:ind w:left="20" w:firstLine="20"/>
                            <w:jc w:val="center"/>
                            <w:textDirection w:val="btLr"/>
                          </w:pPr>
                          <w:r>
                            <w:rPr>
                              <w:rFonts w:ascii="Arial Black" w:eastAsia="Arial Black" w:hAnsi="Arial Black" w:cs="Arial Black"/>
                              <w:color w:val="231F20"/>
                              <w:sz w:val="16"/>
                            </w:rPr>
                            <w:t xml:space="preserve">Cáceres Tovar et al. / Estudios Gerenciales </w:t>
                          </w:r>
                          <w:proofErr w:type="gramStart"/>
                          <w:r>
                            <w:rPr>
                              <w:rFonts w:ascii="Arial Black" w:eastAsia="Arial Black" w:hAnsi="Arial Black" w:cs="Arial Black"/>
                              <w:color w:val="231F20"/>
                              <w:sz w:val="16"/>
                            </w:rPr>
                            <w:t>vol. ,</w:t>
                          </w:r>
                          <w:proofErr w:type="gramEnd"/>
                          <w:r>
                            <w:rPr>
                              <w:rFonts w:ascii="Arial Black" w:eastAsia="Arial Black" w:hAnsi="Arial Black" w:cs="Arial Black"/>
                              <w:color w:val="231F20"/>
                              <w:sz w:val="16"/>
                            </w:rPr>
                            <w:t xml:space="preserve"> N.°</w:t>
                          </w:r>
                        </w:p>
                        <w:p w:rsidR="00BF7DF3" w:rsidRDefault="00BF7DF3">
                          <w:pPr>
                            <w:spacing w:before="30"/>
                            <w:ind w:left="20" w:firstLine="20"/>
                            <w:textDirection w:val="btLr"/>
                          </w:pPr>
                        </w:p>
                      </w:txbxContent>
                    </wps:txbx>
                    <wps:bodyPr spcFirstLastPara="1" wrap="square" lIns="88900" tIns="38100" rIns="88900" bIns="381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114300" distR="114300" hidden="0" layoutInCell="1" locked="0" relativeHeight="0" simplePos="0">
              <wp:simplePos x="0" y="0"/>
              <wp:positionH relativeFrom="page">
                <wp:posOffset>2435543</wp:posOffset>
              </wp:positionH>
              <wp:positionV relativeFrom="page">
                <wp:posOffset>232728</wp:posOffset>
              </wp:positionV>
              <wp:extent cx="3336925" cy="177800"/>
              <wp:effectExtent b="0" l="0" r="0" t="0"/>
              <wp:wrapNone/>
              <wp:docPr id="9" name="image9.png"/>
              <a:graphic>
                <a:graphicData uri="http://schemas.openxmlformats.org/drawingml/2006/picture">
                  <pic:pic>
                    <pic:nvPicPr>
                      <pic:cNvPr id="0" name="image9.png"/>
                      <pic:cNvPicPr preferRelativeResize="0"/>
                    </pic:nvPicPr>
                    <pic:blipFill>
                      <a:blip r:embed="rId3"/>
                      <a:srcRect/>
                      <a:stretch>
                        <a:fillRect/>
                      </a:stretch>
                    </pic:blipFill>
                    <pic:spPr>
                      <a:xfrm>
                        <a:off x="0" y="0"/>
                        <a:ext cx="3336925" cy="177800"/>
                      </a:xfrm>
                      <a:prstGeom prst="rect"/>
                      <a:ln/>
                    </pic:spPr>
                  </pic:pic>
                </a:graphicData>
              </a:graphic>
            </wp:anchor>
          </w:drawing>
        </mc:Fallback>
      </mc:AlternateContent>
    </w:r>
    <w:r>
      <w:rPr>
        <w:noProof/>
        <w:color w:val="000000"/>
        <w:sz w:val="20"/>
        <w:szCs w:val="20"/>
      </w:rPr>
      <mc:AlternateContent>
        <mc:Choice Requires="wpg">
          <w:drawing>
            <wp:anchor distT="0" distB="0" distL="114300" distR="114300" simplePos="0" relativeHeight="251661312" behindDoc="1" locked="0" layoutInCell="1" hidden="0" allowOverlap="1">
              <wp:simplePos x="0" y="0"/>
              <wp:positionH relativeFrom="page">
                <wp:posOffset>533083</wp:posOffset>
              </wp:positionH>
              <wp:positionV relativeFrom="page">
                <wp:posOffset>368618</wp:posOffset>
              </wp:positionV>
              <wp:extent cx="227965" cy="160020"/>
              <wp:effectExtent l="0" t="0" r="0" b="0"/>
              <wp:wrapNone/>
              <wp:docPr id="6" name="Forma libre 6"/>
              <wp:cNvGraphicFramePr/>
              <a:graphic xmlns:a="http://schemas.openxmlformats.org/drawingml/2006/main">
                <a:graphicData uri="http://schemas.microsoft.com/office/word/2010/wordprocessingShape">
                  <wps:wsp>
                    <wps:cNvSpPr/>
                    <wps:spPr>
                      <a:xfrm>
                        <a:off x="5236780" y="3704753"/>
                        <a:ext cx="218440" cy="150495"/>
                      </a:xfrm>
                      <a:custGeom>
                        <a:avLst/>
                        <a:gdLst/>
                        <a:ahLst/>
                        <a:cxnLst/>
                        <a:rect l="l" t="t" r="r" b="b"/>
                        <a:pathLst>
                          <a:path w="218440" h="150495" extrusionOk="0">
                            <a:moveTo>
                              <a:pt x="0" y="0"/>
                            </a:moveTo>
                            <a:lnTo>
                              <a:pt x="0" y="150495"/>
                            </a:lnTo>
                            <a:lnTo>
                              <a:pt x="218440" y="150495"/>
                            </a:lnTo>
                            <a:lnTo>
                              <a:pt x="218440" y="0"/>
                            </a:lnTo>
                            <a:close/>
                          </a:path>
                        </a:pathLst>
                      </a:custGeom>
                      <a:noFill/>
                      <a:ln>
                        <a:noFill/>
                      </a:ln>
                    </wps:spPr>
                    <wps:txbx>
                      <w:txbxContent>
                        <w:p w:rsidR="00BF7DF3" w:rsidRDefault="00BF7DF3">
                          <w:pPr>
                            <w:spacing w:before="30"/>
                            <w:ind w:left="60" w:firstLine="60"/>
                            <w:textDirection w:val="btLr"/>
                          </w:pPr>
                        </w:p>
                      </w:txbxContent>
                    </wps:txbx>
                    <wps:bodyPr spcFirstLastPara="1" wrap="square" lIns="88900" tIns="38100" rIns="88900" bIns="381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114300" distR="114300" hidden="0" layoutInCell="1" locked="0" relativeHeight="0" simplePos="0">
              <wp:simplePos x="0" y="0"/>
              <wp:positionH relativeFrom="page">
                <wp:posOffset>533083</wp:posOffset>
              </wp:positionH>
              <wp:positionV relativeFrom="page">
                <wp:posOffset>368618</wp:posOffset>
              </wp:positionV>
              <wp:extent cx="227965" cy="160020"/>
              <wp:effectExtent b="0" l="0" r="0" t="0"/>
              <wp:wrapNone/>
              <wp:docPr id="6" name="image5.png"/>
              <a:graphic>
                <a:graphicData uri="http://schemas.openxmlformats.org/drawingml/2006/picture">
                  <pic:pic>
                    <pic:nvPicPr>
                      <pic:cNvPr id="0" name="image5.png"/>
                      <pic:cNvPicPr preferRelativeResize="0"/>
                    </pic:nvPicPr>
                    <pic:blipFill>
                      <a:blip r:embed="rId4"/>
                      <a:srcRect/>
                      <a:stretch>
                        <a:fillRect/>
                      </a:stretch>
                    </pic:blipFill>
                    <pic:spPr>
                      <a:xfrm>
                        <a:off x="0" y="0"/>
                        <a:ext cx="227965" cy="160020"/>
                      </a:xfrm>
                      <a:prstGeom prst="rect"/>
                      <a:ln/>
                    </pic:spPr>
                  </pic:pic>
                </a:graphicData>
              </a:graphic>
            </wp:anchor>
          </w:drawing>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DF3" w:rsidRDefault="009709B5">
    <w:pPr>
      <w:pBdr>
        <w:top w:val="nil"/>
        <w:left w:val="nil"/>
        <w:bottom w:val="nil"/>
        <w:right w:val="nil"/>
        <w:between w:val="nil"/>
      </w:pBdr>
      <w:spacing w:line="14" w:lineRule="auto"/>
      <w:rPr>
        <w:color w:val="000000"/>
        <w:sz w:val="20"/>
        <w:szCs w:val="20"/>
      </w:rPr>
    </w:pPr>
    <w:r>
      <w:rPr>
        <w:noProof/>
        <w:color w:val="000000"/>
        <w:sz w:val="20"/>
        <w:szCs w:val="20"/>
      </w:rPr>
      <mc:AlternateContent>
        <mc:Choice Requires="wps">
          <w:drawing>
            <wp:anchor distT="0" distB="0" distL="114300" distR="114300" simplePos="0" relativeHeight="251658240" behindDoc="1" locked="0" layoutInCell="1" hidden="0" allowOverlap="1">
              <wp:simplePos x="0" y="0"/>
              <wp:positionH relativeFrom="page">
                <wp:posOffset>2514600</wp:posOffset>
              </wp:positionH>
              <wp:positionV relativeFrom="page">
                <wp:posOffset>152400</wp:posOffset>
              </wp:positionV>
              <wp:extent cx="3336925" cy="274320"/>
              <wp:effectExtent l="0" t="0" r="0" b="0"/>
              <wp:wrapNone/>
              <wp:docPr id="4" name="Forma libre 4"/>
              <wp:cNvGraphicFramePr/>
              <a:graphic xmlns:a="http://schemas.openxmlformats.org/drawingml/2006/main">
                <a:graphicData uri="http://schemas.microsoft.com/office/word/2010/wordprocessingShape">
                  <wps:wsp>
                    <wps:cNvSpPr/>
                    <wps:spPr>
                      <a:xfrm>
                        <a:off x="0" y="0"/>
                        <a:ext cx="3336925" cy="274320"/>
                      </a:xfrm>
                      <a:custGeom>
                        <a:avLst/>
                        <a:gdLst/>
                        <a:ahLst/>
                        <a:cxnLst/>
                        <a:rect l="l" t="t" r="r" b="b"/>
                        <a:pathLst>
                          <a:path w="3327400" h="168275" extrusionOk="0">
                            <a:moveTo>
                              <a:pt x="0" y="0"/>
                            </a:moveTo>
                            <a:lnTo>
                              <a:pt x="0" y="168275"/>
                            </a:lnTo>
                            <a:lnTo>
                              <a:pt x="3327400" y="168275"/>
                            </a:lnTo>
                            <a:lnTo>
                              <a:pt x="3327400" y="0"/>
                            </a:lnTo>
                            <a:close/>
                          </a:path>
                        </a:pathLst>
                      </a:custGeom>
                      <a:noFill/>
                      <a:ln>
                        <a:noFill/>
                      </a:ln>
                    </wps:spPr>
                    <wps:txbx>
                      <w:txbxContent>
                        <w:p w:rsidR="00BF7DF3" w:rsidRDefault="009709B5">
                          <w:pPr>
                            <w:spacing w:before="30"/>
                            <w:ind w:left="20" w:firstLine="20"/>
                            <w:textDirection w:val="btLr"/>
                          </w:pPr>
                          <w:r>
                            <w:rPr>
                              <w:rFonts w:ascii="Arial Black" w:eastAsia="Arial Black" w:hAnsi="Arial Black" w:cs="Arial Black"/>
                              <w:color w:val="231F20"/>
                              <w:sz w:val="16"/>
                            </w:rPr>
                            <w:t xml:space="preserve">Cáceres Tovar et al. / Estudios Gerenciales </w:t>
                          </w:r>
                          <w:proofErr w:type="gramStart"/>
                          <w:r>
                            <w:rPr>
                              <w:rFonts w:ascii="Arial Black" w:eastAsia="Arial Black" w:hAnsi="Arial Black" w:cs="Arial Black"/>
                              <w:color w:val="231F20"/>
                              <w:sz w:val="16"/>
                            </w:rPr>
                            <w:t>vol. ,</w:t>
                          </w:r>
                          <w:proofErr w:type="gramEnd"/>
                          <w:r>
                            <w:rPr>
                              <w:rFonts w:ascii="Arial Black" w:eastAsia="Arial Black" w:hAnsi="Arial Black" w:cs="Arial Black"/>
                              <w:color w:val="231F20"/>
                              <w:sz w:val="16"/>
                            </w:rPr>
                            <w:t xml:space="preserve"> N.° </w:t>
                          </w:r>
                        </w:p>
                      </w:txbxContent>
                    </wps:txbx>
                    <wps:bodyPr spcFirstLastPara="1" wrap="square" lIns="88900" tIns="38100" rIns="88900" bIns="38100" anchor="t" anchorCtr="0">
                      <a:noAutofit/>
                    </wps:bodyPr>
                  </wps:wsp>
                </a:graphicData>
              </a:graphic>
              <wp14:sizeRelV relativeFrom="margin">
                <wp14:pctHeight>0</wp14:pctHeight>
              </wp14:sizeRelV>
            </wp:anchor>
          </w:drawing>
        </mc:Choice>
        <mc:Fallback>
          <w:pict>
            <v:shape id="Forma libre 4" o:spid="_x0000_s1028" style="position:absolute;margin-left:198pt;margin-top:12pt;width:262.75pt;height:21.6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coordsize="3327400,1682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" adj="-11796480,,5400" path="m,l,168275r3327400,l3327400,,,xe" filled="f" stroked="f">
              <v:stroke joinstyle="miter"/>
              <v:formulas/>
              <v:path arrowok="t" o:extrusionok="f" o:connecttype="custom" textboxrect="0,0,3327400,168275"/>
              <v:textbox inset="7pt,3pt,7pt,3pt">
                <w:txbxContent>
                  <w:p w:rsidR="00BF7DF3" w:rsidRDefault="009709B5">
                    <w:pPr>
                      <w:spacing w:before="30"/>
                      <w:ind w:left="20" w:firstLine="20"/>
                      <w:textDirection w:val="btLr"/>
                    </w:pPr>
                    <w:r>
                      <w:rPr>
                        <w:rFonts w:ascii="Arial Black" w:eastAsia="Arial Black" w:hAnsi="Arial Black" w:cs="Arial Black"/>
                        <w:color w:val="231F20"/>
                        <w:sz w:val="16"/>
                      </w:rPr>
                      <w:t xml:space="preserve">Cáceres Tovar et al. / Estudios Gerenciales </w:t>
                    </w:r>
                    <w:proofErr w:type="gramStart"/>
                    <w:r>
                      <w:rPr>
                        <w:rFonts w:ascii="Arial Black" w:eastAsia="Arial Black" w:hAnsi="Arial Black" w:cs="Arial Black"/>
                        <w:color w:val="231F20"/>
                        <w:sz w:val="16"/>
                      </w:rPr>
                      <w:t>vol. ,</w:t>
                    </w:r>
                    <w:proofErr w:type="gramEnd"/>
                    <w:r>
                      <w:rPr>
                        <w:rFonts w:ascii="Arial Black" w:eastAsia="Arial Black" w:hAnsi="Arial Black" w:cs="Arial Black"/>
                        <w:color w:val="231F20"/>
                        <w:sz w:val="16"/>
                      </w:rPr>
                      <w:t xml:space="preserve"> N.° </w:t>
                    </w:r>
                  </w:p>
                </w:txbxContent>
              </v:textbox>
              <w10:wrap anchorx="page" anchory="page"/>
            </v:shape>
          </w:pict>
        </mc:Fallback>
      </mc:AlternateContent>
    </w:r>
    <w:r>
      <w:rPr>
        <w:noProof/>
        <w:color w:val="000000"/>
        <w:sz w:val="20"/>
        <w:szCs w:val="20"/>
      </w:rPr>
      <mc:AlternateContent>
        <mc:Choice Requires="wpg">
          <w:drawing>
            <wp:anchor distT="0" distB="0" distL="114300" distR="114300" simplePos="0" relativeHeight="251659264" behindDoc="1" locked="0" layoutInCell="1" hidden="0" allowOverlap="1">
              <wp:simplePos x="0" y="0"/>
              <wp:positionH relativeFrom="page">
                <wp:posOffset>7011353</wp:posOffset>
              </wp:positionH>
              <wp:positionV relativeFrom="page">
                <wp:posOffset>368618</wp:posOffset>
              </wp:positionV>
              <wp:extent cx="227965" cy="160020"/>
              <wp:effectExtent l="0" t="0" r="0" b="0"/>
              <wp:wrapNone/>
              <wp:docPr id="5" name="Forma libre 5"/>
              <wp:cNvGraphicFramePr/>
              <a:graphic xmlns:a="http://schemas.openxmlformats.org/drawingml/2006/main">
                <a:graphicData uri="http://schemas.microsoft.com/office/word/2010/wordprocessingShape">
                  <wps:wsp>
                    <wps:cNvSpPr/>
                    <wps:spPr>
                      <a:xfrm>
                        <a:off x="5236780" y="3704753"/>
                        <a:ext cx="218440" cy="150495"/>
                      </a:xfrm>
                      <a:custGeom>
                        <a:avLst/>
                        <a:gdLst/>
                        <a:ahLst/>
                        <a:cxnLst/>
                        <a:rect l="l" t="t" r="r" b="b"/>
                        <a:pathLst>
                          <a:path w="218440" h="150495" extrusionOk="0">
                            <a:moveTo>
                              <a:pt x="0" y="0"/>
                            </a:moveTo>
                            <a:lnTo>
                              <a:pt x="0" y="150495"/>
                            </a:lnTo>
                            <a:lnTo>
                              <a:pt x="218440" y="150495"/>
                            </a:lnTo>
                            <a:lnTo>
                              <a:pt x="218440" y="0"/>
                            </a:lnTo>
                            <a:close/>
                          </a:path>
                        </a:pathLst>
                      </a:custGeom>
                      <a:noFill/>
                      <a:ln>
                        <a:noFill/>
                      </a:ln>
                    </wps:spPr>
                    <wps:txbx>
                      <w:txbxContent>
                        <w:p w:rsidR="00BF7DF3" w:rsidRDefault="00BF7DF3">
                          <w:pPr>
                            <w:spacing w:before="30"/>
                            <w:ind w:left="60" w:firstLine="60"/>
                            <w:textDirection w:val="btLr"/>
                          </w:pPr>
                        </w:p>
                      </w:txbxContent>
                    </wps:txbx>
                    <wps:bodyPr spcFirstLastPara="1" wrap="square" lIns="88900" tIns="38100" rIns="88900" bIns="381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114300" distR="114300" hidden="0" layoutInCell="1" locked="0" relativeHeight="0" simplePos="0">
              <wp:simplePos x="0" y="0"/>
              <wp:positionH relativeFrom="page">
                <wp:posOffset>7011353</wp:posOffset>
              </wp:positionH>
              <wp:positionV relativeFrom="page">
                <wp:posOffset>368618</wp:posOffset>
              </wp:positionV>
              <wp:extent cx="227965" cy="160020"/>
              <wp:effectExtent b="0" l="0" r="0" t="0"/>
              <wp:wrapNone/>
              <wp:docPr id="5" name="image4.png"/>
              <a:graphic>
                <a:graphicData uri="http://schemas.openxmlformats.org/drawingml/2006/picture">
                  <pic:pic>
                    <pic:nvPicPr>
                      <pic:cNvPr id="0" name="image4.png"/>
                      <pic:cNvPicPr preferRelativeResize="0"/>
                    </pic:nvPicPr>
                    <pic:blipFill>
                      <a:blip r:embed="rId4"/>
                      <a:srcRect/>
                      <a:stretch>
                        <a:fillRect/>
                      </a:stretch>
                    </pic:blipFill>
                    <pic:spPr>
                      <a:xfrm>
                        <a:off x="0" y="0"/>
                        <a:ext cx="227965" cy="160020"/>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469"/>
    <w:multiLevelType w:val="multilevel"/>
    <w:tmpl w:val="2610BB4C"/>
    <w:lvl w:ilvl="0">
      <w:start w:val="1"/>
      <w:numFmt w:val="bullet"/>
      <w:lvlText w:val="●"/>
      <w:lvlJc w:val="left"/>
      <w:pPr>
        <w:ind w:left="1170" w:hanging="360"/>
      </w:pPr>
      <w:rPr>
        <w:rFonts w:ascii="Noto Sans Symbols" w:eastAsia="Noto Sans Symbols" w:hAnsi="Noto Sans Symbols" w:cs="Noto Sans Symbols"/>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1" w15:restartNumberingAfterBreak="0">
    <w:nsid w:val="3EC41937"/>
    <w:multiLevelType w:val="multilevel"/>
    <w:tmpl w:val="FAE4C74E"/>
    <w:lvl w:ilvl="0">
      <w:start w:val="1"/>
      <w:numFmt w:val="bullet"/>
      <w:lvlText w:val="●"/>
      <w:lvlJc w:val="left"/>
      <w:pPr>
        <w:ind w:left="1170" w:hanging="360"/>
      </w:pPr>
      <w:rPr>
        <w:rFonts w:ascii="Noto Sans Symbols" w:eastAsia="Noto Sans Symbols" w:hAnsi="Noto Sans Symbols" w:cs="Noto Sans Symbols"/>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15:restartNumberingAfterBreak="0">
    <w:nsid w:val="61C33B88"/>
    <w:multiLevelType w:val="multilevel"/>
    <w:tmpl w:val="19E250D2"/>
    <w:lvl w:ilvl="0">
      <w:start w:val="1"/>
      <w:numFmt w:val="decimal"/>
      <w:lvlText w:val="%1."/>
      <w:lvlJc w:val="left"/>
      <w:pPr>
        <w:ind w:left="450" w:hanging="284"/>
      </w:pPr>
      <w:rPr>
        <w:rFonts w:ascii="Arial" w:eastAsia="Arial" w:hAnsi="Arial" w:cs="Arial"/>
        <w:b/>
        <w:color w:val="231F20"/>
        <w:sz w:val="20"/>
        <w:szCs w:val="20"/>
      </w:rPr>
    </w:lvl>
    <w:lvl w:ilvl="1">
      <w:start w:val="1"/>
      <w:numFmt w:val="decimal"/>
      <w:lvlText w:val="%1.%2"/>
      <w:lvlJc w:val="left"/>
      <w:pPr>
        <w:ind w:left="446" w:hanging="280"/>
      </w:pPr>
      <w:rPr>
        <w:rFonts w:ascii="Trebuchet MS" w:eastAsia="Trebuchet MS" w:hAnsi="Trebuchet MS" w:cs="Trebuchet MS"/>
        <w:i/>
        <w:color w:val="231F20"/>
        <w:sz w:val="20"/>
        <w:szCs w:val="20"/>
      </w:rPr>
    </w:lvl>
    <w:lvl w:ilvl="2">
      <w:numFmt w:val="bullet"/>
      <w:lvlText w:val="•"/>
      <w:lvlJc w:val="left"/>
      <w:pPr>
        <w:ind w:left="995" w:hanging="280"/>
      </w:pPr>
    </w:lvl>
    <w:lvl w:ilvl="3">
      <w:numFmt w:val="bullet"/>
      <w:lvlText w:val="•"/>
      <w:lvlJc w:val="left"/>
      <w:pPr>
        <w:ind w:left="1530" w:hanging="280"/>
      </w:pPr>
    </w:lvl>
    <w:lvl w:ilvl="4">
      <w:numFmt w:val="bullet"/>
      <w:lvlText w:val="•"/>
      <w:lvlJc w:val="left"/>
      <w:pPr>
        <w:ind w:left="2066" w:hanging="280"/>
      </w:pPr>
    </w:lvl>
    <w:lvl w:ilvl="5">
      <w:numFmt w:val="bullet"/>
      <w:lvlText w:val="•"/>
      <w:lvlJc w:val="left"/>
      <w:pPr>
        <w:ind w:left="2601" w:hanging="280"/>
      </w:pPr>
    </w:lvl>
    <w:lvl w:ilvl="6">
      <w:numFmt w:val="bullet"/>
      <w:lvlText w:val="•"/>
      <w:lvlJc w:val="left"/>
      <w:pPr>
        <w:ind w:left="3136" w:hanging="280"/>
      </w:pPr>
    </w:lvl>
    <w:lvl w:ilvl="7">
      <w:numFmt w:val="bullet"/>
      <w:lvlText w:val="•"/>
      <w:lvlJc w:val="left"/>
      <w:pPr>
        <w:ind w:left="3672" w:hanging="280"/>
      </w:pPr>
    </w:lvl>
    <w:lvl w:ilvl="8">
      <w:numFmt w:val="bullet"/>
      <w:lvlText w:val="•"/>
      <w:lvlJc w:val="left"/>
      <w:pPr>
        <w:ind w:left="4207" w:hanging="280"/>
      </w:pPr>
    </w:lvl>
  </w:abstractNum>
  <w:abstractNum w:abstractNumId="3" w15:restartNumberingAfterBreak="0">
    <w:nsid w:val="6DD9793C"/>
    <w:multiLevelType w:val="multilevel"/>
    <w:tmpl w:val="B0ECFD5A"/>
    <w:lvl w:ilvl="0">
      <w:start w:val="1"/>
      <w:numFmt w:val="bullet"/>
      <w:lvlText w:val="●"/>
      <w:lvlJc w:val="left"/>
      <w:pPr>
        <w:ind w:left="1170" w:hanging="360"/>
      </w:pPr>
      <w:rPr>
        <w:rFonts w:ascii="Noto Sans Symbols" w:eastAsia="Noto Sans Symbols" w:hAnsi="Noto Sans Symbols" w:cs="Noto Sans Symbols"/>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4" w15:restartNumberingAfterBreak="0">
    <w:nsid w:val="79BD1C9A"/>
    <w:multiLevelType w:val="multilevel"/>
    <w:tmpl w:val="F2788EEC"/>
    <w:lvl w:ilvl="0">
      <w:start w:val="1"/>
      <w:numFmt w:val="bullet"/>
      <w:lvlText w:val="●"/>
      <w:lvlJc w:val="left"/>
      <w:pPr>
        <w:ind w:left="1170" w:hanging="360"/>
      </w:pPr>
      <w:rPr>
        <w:rFonts w:ascii="Noto Sans Symbols" w:eastAsia="Noto Sans Symbols" w:hAnsi="Noto Sans Symbols" w:cs="Noto Sans Symbols"/>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311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DF3"/>
    <w:rsid w:val="009709B5"/>
    <w:rsid w:val="009D1253"/>
    <w:rsid w:val="00BF7D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119"/>
    <o:shapelayout v:ext="edit">
      <o:idmap v:ext="edit" data="1,3"/>
    </o:shapelayout>
  </w:shapeDefaults>
  <w:decimalSymbol w:val=","/>
  <w:listSeparator w:val=";"/>
  <w14:docId w14:val="4BD7C090"/>
  <w15:docId w15:val="{3A32B43D-372C-45CA-AD58-969B62563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sz w:val="22"/>
        <w:szCs w:val="22"/>
        <w:lang w:val="es-ES" w:eastAsia="es-E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uiPriority w:val="9"/>
    <w:qFormat/>
    <w:pPr>
      <w:spacing w:before="151"/>
      <w:ind w:left="450" w:hanging="284"/>
      <w:outlineLvl w:val="0"/>
    </w:pPr>
    <w:rPr>
      <w:rFonts w:ascii="Arial" w:eastAsia="Arial" w:hAnsi="Arial" w:cs="Arial"/>
      <w:b/>
      <w:bCs/>
      <w:sz w:val="20"/>
      <w:szCs w:val="20"/>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before="22"/>
      <w:ind w:left="110"/>
    </w:pPr>
    <w:rPr>
      <w:rFonts w:ascii="Arial" w:eastAsia="Arial" w:hAnsi="Arial" w:cs="Arial"/>
      <w:b/>
      <w:bCs/>
      <w:sz w:val="27"/>
      <w:szCs w:val="27"/>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67"/>
      <w:jc w:val="both"/>
    </w:pPr>
    <w:rPr>
      <w:sz w:val="20"/>
      <w:szCs w:val="20"/>
    </w:rPr>
  </w:style>
  <w:style w:type="paragraph" w:styleId="Prrafodelista">
    <w:name w:val="List Paragraph"/>
    <w:basedOn w:val="Normal"/>
    <w:uiPriority w:val="1"/>
    <w:qFormat/>
    <w:pPr>
      <w:ind w:left="450" w:hanging="284"/>
    </w:pPr>
    <w:rPr>
      <w:rFonts w:ascii="Trebuchet MS" w:eastAsia="Trebuchet MS" w:hAnsi="Trebuchet MS" w:cs="Trebuchet MS"/>
    </w:rPr>
  </w:style>
  <w:style w:type="paragraph" w:customStyle="1" w:styleId="TableParagraph">
    <w:name w:val="Table Paragraph"/>
    <w:basedOn w:val="Normal"/>
    <w:uiPriority w:val="1"/>
    <w:qFormat/>
    <w:pPr>
      <w:spacing w:before="32"/>
      <w:ind w:left="62" w:right="68"/>
    </w:pPr>
  </w:style>
  <w:style w:type="paragraph" w:styleId="Encabezado">
    <w:name w:val="header"/>
    <w:basedOn w:val="Normal"/>
    <w:link w:val="EncabezadoCar"/>
    <w:uiPriority w:val="99"/>
    <w:unhideWhenUsed/>
    <w:rsid w:val="004D3373"/>
    <w:pPr>
      <w:tabs>
        <w:tab w:val="center" w:pos="4419"/>
        <w:tab w:val="right" w:pos="8838"/>
      </w:tabs>
    </w:pPr>
  </w:style>
  <w:style w:type="character" w:customStyle="1" w:styleId="EncabezadoCar">
    <w:name w:val="Encabezado Car"/>
    <w:basedOn w:val="Fuentedeprrafopredeter"/>
    <w:link w:val="Encabezado"/>
    <w:uiPriority w:val="99"/>
    <w:rsid w:val="004D3373"/>
    <w:rPr>
      <w:rFonts w:ascii="Tahoma" w:eastAsia="Tahoma" w:hAnsi="Tahoma" w:cs="Tahoma"/>
      <w:lang w:val="es-ES"/>
    </w:rPr>
  </w:style>
  <w:style w:type="paragraph" w:styleId="Piedepgina">
    <w:name w:val="footer"/>
    <w:basedOn w:val="Normal"/>
    <w:link w:val="PiedepginaCar"/>
    <w:uiPriority w:val="99"/>
    <w:unhideWhenUsed/>
    <w:rsid w:val="004D3373"/>
    <w:pPr>
      <w:tabs>
        <w:tab w:val="center" w:pos="4419"/>
        <w:tab w:val="right" w:pos="8838"/>
      </w:tabs>
    </w:pPr>
  </w:style>
  <w:style w:type="character" w:customStyle="1" w:styleId="PiedepginaCar">
    <w:name w:val="Pie de página Car"/>
    <w:basedOn w:val="Fuentedeprrafopredeter"/>
    <w:link w:val="Piedepgina"/>
    <w:uiPriority w:val="99"/>
    <w:rsid w:val="004D3373"/>
    <w:rPr>
      <w:rFonts w:ascii="Tahoma" w:eastAsia="Tahoma" w:hAnsi="Tahoma" w:cs="Tahoma"/>
      <w:lang w:val="es-ES"/>
    </w:rPr>
  </w:style>
  <w:style w:type="character" w:styleId="Hipervnculo">
    <w:name w:val="Hyperlink"/>
    <w:basedOn w:val="Fuentedeprrafopredeter"/>
    <w:uiPriority w:val="99"/>
    <w:unhideWhenUsed/>
    <w:rsid w:val="00C0707C"/>
    <w:rPr>
      <w:color w:val="0000FF"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aruedas@correo.uis.edu.co"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ilvia2170323@correo.uis.edu.c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hyperlink" Target="https://www.vanguardia.com/area-metropolitana/bucaramanga/el-top-cinco-de-las-fallas-con-el-espacio-publico-en-bucaramanga-NF5061069"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PV0xMay+EPHa8epBb6cVU3Y9dQ==">AMUW2mUC3ZzZOfTF6A3xwH5ww2smqy55DCFhy0V0Mm7enOeSBudMtOkhpIYFfXRcnz+zqAH5ijx1bnLIWPkO+9hRAUIVOZ0sGXA9U7Rgn6o89VeYFS0Evbr/52o04in1ZDR/aQkwZo5fcfslnoO8UyIRKHre4tUGXw==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8065</Words>
  <Characters>44362</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Mayerlin Roldán Sepúlveda</dc:creator>
  <cp:lastModifiedBy>INGRI KATHERINE CACERES</cp:lastModifiedBy>
  <cp:revision>2</cp:revision>
  <dcterms:created xsi:type="dcterms:W3CDTF">2022-09-14T03:15:00Z</dcterms:created>
  <dcterms:modified xsi:type="dcterms:W3CDTF">2022-09-19T18:41:00Z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2022-08-26T00:00:00Z</vt:filetime>
  </property>
  <property fmtid="{D5CDD505-2E9C-101B-9397-08002B2CF9AE}" pid="3" name="Creator">
    <vt:lpwstr>Adobe InDesign 17.0 (Windows)</vt:lpwstr>
  </property>
  <property fmtid="{D5CDD505-2E9C-101B-9397-08002B2CF9AE}" pid="4" name="LastSaved">
    <vt:filetime>2022-09-14T00:00:00Z</vt:filetime>
  </property>
</Properties>
</file>